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5FE507D7" w:rsidR="005A37CB" w:rsidRPr="00C82CF2" w:rsidRDefault="00CA2449" w:rsidP="005A37CB">
      <w:pPr>
        <w:spacing w:line="259" w:lineRule="auto"/>
        <w:jc w:val="right"/>
        <w:rPr>
          <w:rFonts w:ascii="Arial" w:eastAsia="Calibri" w:hAnsi="Arial" w:cs="Arial"/>
          <w:b/>
          <w:sz w:val="23"/>
          <w:szCs w:val="23"/>
          <w:lang w:val="es-MX" w:eastAsia="en-US"/>
        </w:rPr>
      </w:pPr>
      <w:r w:rsidRPr="00C82CF2">
        <w:rPr>
          <w:rFonts w:ascii="Arial" w:eastAsia="Calibri" w:hAnsi="Arial" w:cs="Arial"/>
          <w:b/>
          <w:sz w:val="23"/>
          <w:szCs w:val="23"/>
          <w:lang w:val="es-MX" w:eastAsia="en-US"/>
        </w:rPr>
        <w:t>Quinta</w:t>
      </w:r>
      <w:r w:rsidR="005A37CB" w:rsidRPr="00C82CF2">
        <w:rPr>
          <w:rFonts w:ascii="Arial" w:eastAsia="Calibri" w:hAnsi="Arial" w:cs="Arial"/>
          <w:b/>
          <w:sz w:val="23"/>
          <w:szCs w:val="23"/>
          <w:lang w:val="es-MX" w:eastAsia="en-US"/>
        </w:rPr>
        <w:t xml:space="preserve"> Sesión </w:t>
      </w:r>
      <w:r w:rsidR="00960243" w:rsidRPr="00C82CF2">
        <w:rPr>
          <w:rFonts w:ascii="Arial" w:eastAsia="Calibri" w:hAnsi="Arial" w:cs="Arial"/>
          <w:b/>
          <w:sz w:val="23"/>
          <w:szCs w:val="23"/>
          <w:lang w:val="es-MX" w:eastAsia="en-US"/>
        </w:rPr>
        <w:t>Extraordinaria</w:t>
      </w:r>
      <w:r w:rsidR="005A37CB" w:rsidRPr="00C82CF2">
        <w:rPr>
          <w:rFonts w:ascii="Arial" w:eastAsia="Calibri" w:hAnsi="Arial" w:cs="Arial"/>
          <w:b/>
          <w:sz w:val="23"/>
          <w:szCs w:val="23"/>
          <w:lang w:val="es-MX" w:eastAsia="en-US"/>
        </w:rPr>
        <w:t xml:space="preserve"> del año 202</w:t>
      </w:r>
      <w:r w:rsidR="003603FF" w:rsidRPr="00C82CF2">
        <w:rPr>
          <w:rFonts w:ascii="Arial" w:eastAsia="Calibri" w:hAnsi="Arial" w:cs="Arial"/>
          <w:b/>
          <w:sz w:val="23"/>
          <w:szCs w:val="23"/>
          <w:lang w:val="es-MX" w:eastAsia="en-US"/>
        </w:rPr>
        <w:t>2</w:t>
      </w:r>
      <w:r w:rsidR="005A37CB" w:rsidRPr="00C82CF2">
        <w:rPr>
          <w:rFonts w:ascii="Arial" w:eastAsia="Calibri" w:hAnsi="Arial" w:cs="Arial"/>
          <w:b/>
          <w:sz w:val="23"/>
          <w:szCs w:val="23"/>
          <w:lang w:val="es-MX" w:eastAsia="en-US"/>
        </w:rPr>
        <w:t xml:space="preserve">,  </w:t>
      </w:r>
    </w:p>
    <w:p w14:paraId="535C590D" w14:textId="45A93ADC" w:rsidR="005A37CB" w:rsidRPr="00C82CF2" w:rsidRDefault="005A37CB" w:rsidP="005A37CB">
      <w:pPr>
        <w:spacing w:line="259" w:lineRule="auto"/>
        <w:jc w:val="right"/>
        <w:rPr>
          <w:rFonts w:ascii="Arial" w:eastAsia="Calibri" w:hAnsi="Arial" w:cs="Arial"/>
          <w:b/>
          <w:sz w:val="23"/>
          <w:szCs w:val="23"/>
          <w:lang w:val="es-MX" w:eastAsia="en-US"/>
        </w:rPr>
      </w:pPr>
      <w:r w:rsidRPr="00C82CF2">
        <w:rPr>
          <w:rFonts w:ascii="Arial" w:eastAsia="Calibri" w:hAnsi="Arial" w:cs="Arial"/>
          <w:b/>
          <w:sz w:val="23"/>
          <w:szCs w:val="23"/>
          <w:lang w:val="es-MX" w:eastAsia="en-US"/>
        </w:rPr>
        <w:t>0</w:t>
      </w:r>
      <w:r w:rsidR="00CA2449" w:rsidRPr="00C82CF2">
        <w:rPr>
          <w:rFonts w:ascii="Arial" w:eastAsia="Calibri" w:hAnsi="Arial" w:cs="Arial"/>
          <w:b/>
          <w:sz w:val="23"/>
          <w:szCs w:val="23"/>
          <w:lang w:val="es-MX" w:eastAsia="en-US"/>
        </w:rPr>
        <w:t>5</w:t>
      </w:r>
      <w:r w:rsidRPr="00C82CF2">
        <w:rPr>
          <w:rFonts w:ascii="Arial" w:eastAsia="Calibri" w:hAnsi="Arial" w:cs="Arial"/>
          <w:b/>
          <w:sz w:val="23"/>
          <w:szCs w:val="23"/>
          <w:lang w:val="es-MX" w:eastAsia="en-US"/>
        </w:rPr>
        <w:t xml:space="preserve">/2021 </w:t>
      </w:r>
      <w:r w:rsidR="00960243" w:rsidRPr="00C82CF2">
        <w:rPr>
          <w:rFonts w:ascii="Arial" w:eastAsia="Calibri" w:hAnsi="Arial" w:cs="Arial"/>
          <w:b/>
          <w:sz w:val="23"/>
          <w:szCs w:val="23"/>
          <w:lang w:val="es-MX" w:eastAsia="en-US"/>
        </w:rPr>
        <w:t>Ext</w:t>
      </w:r>
      <w:r w:rsidR="00500748" w:rsidRPr="00C82CF2">
        <w:rPr>
          <w:rFonts w:ascii="Arial" w:eastAsia="Calibri" w:hAnsi="Arial" w:cs="Arial"/>
          <w:b/>
          <w:sz w:val="23"/>
          <w:szCs w:val="23"/>
          <w:lang w:val="es-MX" w:eastAsia="en-US"/>
        </w:rPr>
        <w:t xml:space="preserve">. </w:t>
      </w:r>
      <w:r w:rsidRPr="00C82CF2">
        <w:rPr>
          <w:rFonts w:ascii="Arial" w:eastAsia="Calibri" w:hAnsi="Arial" w:cs="Arial"/>
          <w:b/>
          <w:sz w:val="23"/>
          <w:szCs w:val="23"/>
          <w:lang w:val="es-MX" w:eastAsia="en-US"/>
        </w:rPr>
        <w:t xml:space="preserve">del Comité de Transparencia </w:t>
      </w:r>
    </w:p>
    <w:p w14:paraId="18D11A5F" w14:textId="77777777" w:rsidR="005A37CB" w:rsidRPr="00C82CF2" w:rsidRDefault="005A37CB" w:rsidP="005A37CB">
      <w:pPr>
        <w:spacing w:line="259" w:lineRule="auto"/>
        <w:jc w:val="right"/>
        <w:rPr>
          <w:rFonts w:ascii="Arial" w:eastAsia="Calibri" w:hAnsi="Arial" w:cs="Arial"/>
          <w:b/>
          <w:sz w:val="23"/>
          <w:szCs w:val="23"/>
          <w:lang w:val="es-MX" w:eastAsia="en-US"/>
        </w:rPr>
      </w:pPr>
      <w:r w:rsidRPr="00C82CF2">
        <w:rPr>
          <w:rFonts w:ascii="Arial" w:eastAsia="Calibri" w:hAnsi="Arial" w:cs="Arial"/>
          <w:b/>
          <w:sz w:val="23"/>
          <w:szCs w:val="23"/>
          <w:lang w:val="es-MX" w:eastAsia="en-US"/>
        </w:rPr>
        <w:t xml:space="preserve">de la Secretaría Ejecutiva del Sistema Estatal </w:t>
      </w:r>
    </w:p>
    <w:p w14:paraId="28ED6F67" w14:textId="77777777" w:rsidR="005A37CB" w:rsidRPr="00C82CF2" w:rsidRDefault="005A37CB" w:rsidP="005A37CB">
      <w:pPr>
        <w:spacing w:line="259" w:lineRule="auto"/>
        <w:jc w:val="right"/>
        <w:rPr>
          <w:rFonts w:ascii="Arial" w:eastAsia="Calibri" w:hAnsi="Arial" w:cs="Arial"/>
          <w:b/>
          <w:sz w:val="23"/>
          <w:szCs w:val="23"/>
          <w:lang w:val="es-MX" w:eastAsia="en-US"/>
        </w:rPr>
      </w:pPr>
      <w:r w:rsidRPr="00C82CF2">
        <w:rPr>
          <w:rFonts w:ascii="Arial" w:eastAsia="Calibri" w:hAnsi="Arial" w:cs="Arial"/>
          <w:b/>
          <w:sz w:val="23"/>
          <w:szCs w:val="23"/>
          <w:lang w:val="es-MX" w:eastAsia="en-US"/>
        </w:rPr>
        <w:t>Anticorrupción de Jalisco.</w:t>
      </w:r>
    </w:p>
    <w:p w14:paraId="37D7816F" w14:textId="59E27032" w:rsidR="005A37CB" w:rsidRPr="00C82CF2" w:rsidRDefault="005A37CB" w:rsidP="005A37CB">
      <w:pPr>
        <w:spacing w:line="259" w:lineRule="auto"/>
        <w:jc w:val="right"/>
        <w:rPr>
          <w:rFonts w:ascii="Arial" w:eastAsia="Calibri" w:hAnsi="Arial" w:cs="Arial"/>
          <w:b/>
          <w:sz w:val="23"/>
          <w:szCs w:val="23"/>
          <w:lang w:val="es-MX" w:eastAsia="en-US"/>
        </w:rPr>
      </w:pPr>
    </w:p>
    <w:p w14:paraId="5EF70D52" w14:textId="77777777" w:rsidR="003931DE" w:rsidRPr="00C82CF2" w:rsidRDefault="003931DE" w:rsidP="005A37CB">
      <w:pPr>
        <w:spacing w:line="259" w:lineRule="auto"/>
        <w:jc w:val="right"/>
        <w:rPr>
          <w:rFonts w:ascii="Arial" w:eastAsia="Calibri" w:hAnsi="Arial" w:cs="Arial"/>
          <w:b/>
          <w:sz w:val="23"/>
          <w:szCs w:val="23"/>
          <w:lang w:val="es-MX" w:eastAsia="en-US"/>
        </w:rPr>
      </w:pPr>
    </w:p>
    <w:p w14:paraId="2524B04D" w14:textId="0E2BD3A0" w:rsidR="005A37CB" w:rsidRPr="00C82CF2" w:rsidRDefault="005A37CB" w:rsidP="004B3D3D">
      <w:pPr>
        <w:spacing w:after="160" w:line="259" w:lineRule="auto"/>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Siendo las 1</w:t>
      </w:r>
      <w:r w:rsidR="00CA2449" w:rsidRPr="00C82CF2">
        <w:rPr>
          <w:rFonts w:ascii="Arial" w:eastAsia="Calibri" w:hAnsi="Arial" w:cs="Arial"/>
          <w:sz w:val="23"/>
          <w:szCs w:val="23"/>
          <w:lang w:val="es-MX" w:eastAsia="en-US"/>
        </w:rPr>
        <w:t>6</w:t>
      </w:r>
      <w:r w:rsidRPr="00C82CF2">
        <w:rPr>
          <w:rFonts w:ascii="Arial" w:eastAsia="Calibri" w:hAnsi="Arial" w:cs="Arial"/>
          <w:sz w:val="23"/>
          <w:szCs w:val="23"/>
          <w:lang w:val="es-MX" w:eastAsia="en-US"/>
        </w:rPr>
        <w:t>:</w:t>
      </w:r>
      <w:r w:rsidR="00CA2449" w:rsidRPr="00C82CF2">
        <w:rPr>
          <w:rFonts w:ascii="Arial" w:eastAsia="Calibri" w:hAnsi="Arial" w:cs="Arial"/>
          <w:sz w:val="23"/>
          <w:szCs w:val="23"/>
          <w:lang w:val="es-MX" w:eastAsia="en-US"/>
        </w:rPr>
        <w:t>0</w:t>
      </w:r>
      <w:r w:rsidR="00E15E3A" w:rsidRPr="00C82CF2">
        <w:rPr>
          <w:rFonts w:ascii="Arial" w:eastAsia="Calibri" w:hAnsi="Arial" w:cs="Arial"/>
          <w:sz w:val="23"/>
          <w:szCs w:val="23"/>
          <w:lang w:val="es-MX" w:eastAsia="en-US"/>
        </w:rPr>
        <w:t>0</w:t>
      </w:r>
      <w:r w:rsidRPr="00C82CF2">
        <w:rPr>
          <w:rFonts w:ascii="Arial" w:eastAsia="Calibri" w:hAnsi="Arial" w:cs="Arial"/>
          <w:sz w:val="23"/>
          <w:szCs w:val="23"/>
          <w:lang w:val="es-MX" w:eastAsia="en-US"/>
        </w:rPr>
        <w:t xml:space="preserve"> </w:t>
      </w:r>
      <w:r w:rsidR="00CA2449" w:rsidRPr="00C82CF2">
        <w:rPr>
          <w:rFonts w:ascii="Arial" w:eastAsia="Calibri" w:hAnsi="Arial" w:cs="Arial"/>
          <w:sz w:val="23"/>
          <w:szCs w:val="23"/>
          <w:lang w:val="es-MX" w:eastAsia="en-US"/>
        </w:rPr>
        <w:t xml:space="preserve">dieciséis </w:t>
      </w:r>
      <w:r w:rsidRPr="00C82CF2">
        <w:rPr>
          <w:rFonts w:ascii="Arial" w:eastAsia="Calibri" w:hAnsi="Arial" w:cs="Arial"/>
          <w:sz w:val="23"/>
          <w:szCs w:val="23"/>
          <w:lang w:val="es-MX" w:eastAsia="en-US"/>
        </w:rPr>
        <w:t>horas</w:t>
      </w:r>
      <w:r w:rsidR="00E15E3A"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 xml:space="preserve">del día </w:t>
      </w:r>
      <w:r w:rsidR="00CA2449" w:rsidRPr="00C82CF2">
        <w:rPr>
          <w:rFonts w:ascii="Arial" w:eastAsia="Calibri" w:hAnsi="Arial" w:cs="Arial"/>
          <w:sz w:val="23"/>
          <w:szCs w:val="23"/>
          <w:lang w:val="es-MX" w:eastAsia="en-US"/>
        </w:rPr>
        <w:t>11</w:t>
      </w:r>
      <w:r w:rsidR="00387247"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 xml:space="preserve">de </w:t>
      </w:r>
      <w:r w:rsidR="00CA2449" w:rsidRPr="00C82CF2">
        <w:rPr>
          <w:rFonts w:ascii="Arial" w:eastAsia="Calibri" w:hAnsi="Arial" w:cs="Arial"/>
          <w:sz w:val="23"/>
          <w:szCs w:val="23"/>
          <w:lang w:val="es-MX" w:eastAsia="en-US"/>
        </w:rPr>
        <w:t>noviembre</w:t>
      </w:r>
      <w:r w:rsidRPr="00C82CF2">
        <w:rPr>
          <w:rFonts w:ascii="Arial" w:eastAsia="Calibri" w:hAnsi="Arial" w:cs="Arial"/>
          <w:sz w:val="23"/>
          <w:szCs w:val="23"/>
          <w:lang w:val="es-MX" w:eastAsia="en-US"/>
        </w:rPr>
        <w:t xml:space="preserve"> de 202</w:t>
      </w:r>
      <w:r w:rsidR="003603FF" w:rsidRPr="00C82CF2">
        <w:rPr>
          <w:rFonts w:ascii="Arial" w:eastAsia="Calibri" w:hAnsi="Arial" w:cs="Arial"/>
          <w:sz w:val="23"/>
          <w:szCs w:val="23"/>
          <w:lang w:val="es-MX" w:eastAsia="en-US"/>
        </w:rPr>
        <w:t>2</w:t>
      </w:r>
      <w:r w:rsidRPr="00C82CF2">
        <w:rPr>
          <w:rFonts w:ascii="Arial" w:eastAsia="Calibri" w:hAnsi="Arial" w:cs="Arial"/>
          <w:sz w:val="23"/>
          <w:szCs w:val="23"/>
          <w:lang w:val="es-MX" w:eastAsia="en-US"/>
        </w:rPr>
        <w:t xml:space="preserve"> dos mil </w:t>
      </w:r>
      <w:r w:rsidR="00C7511B" w:rsidRPr="00C82CF2">
        <w:rPr>
          <w:rFonts w:ascii="Arial" w:eastAsia="Calibri" w:hAnsi="Arial" w:cs="Arial"/>
          <w:sz w:val="23"/>
          <w:szCs w:val="23"/>
          <w:lang w:val="es-MX" w:eastAsia="en-US"/>
        </w:rPr>
        <w:t>veintidós</w:t>
      </w:r>
      <w:r w:rsidRPr="00C82CF2">
        <w:rPr>
          <w:rFonts w:ascii="Arial" w:eastAsia="Calibri" w:hAnsi="Arial" w:cs="Arial"/>
          <w:sz w:val="23"/>
          <w:szCs w:val="23"/>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bookmarkStart w:id="0" w:name="_Hlk113964355"/>
      <w:r w:rsidRPr="00C82CF2">
        <w:rPr>
          <w:rFonts w:ascii="Arial" w:eastAsia="Calibri" w:hAnsi="Arial" w:cs="Arial"/>
          <w:b/>
          <w:sz w:val="23"/>
          <w:szCs w:val="23"/>
          <w:lang w:val="es-MX" w:eastAsia="en-US"/>
        </w:rPr>
        <w:t xml:space="preserve">Dra. </w:t>
      </w:r>
      <w:bookmarkStart w:id="1" w:name="_Hlk113966992"/>
      <w:proofErr w:type="spellStart"/>
      <w:r w:rsidRPr="00C82CF2">
        <w:rPr>
          <w:rFonts w:ascii="Arial" w:eastAsia="Calibri" w:hAnsi="Arial" w:cs="Arial"/>
          <w:b/>
          <w:sz w:val="23"/>
          <w:szCs w:val="23"/>
          <w:lang w:val="es-MX" w:eastAsia="en-US"/>
        </w:rPr>
        <w:t>Haimé</w:t>
      </w:r>
      <w:proofErr w:type="spellEnd"/>
      <w:r w:rsidRPr="00C82CF2">
        <w:rPr>
          <w:rFonts w:ascii="Arial" w:eastAsia="Calibri" w:hAnsi="Arial" w:cs="Arial"/>
          <w:b/>
          <w:sz w:val="23"/>
          <w:szCs w:val="23"/>
          <w:lang w:val="es-MX" w:eastAsia="en-US"/>
        </w:rPr>
        <w:t xml:space="preserve"> Figueroa Neri</w:t>
      </w:r>
      <w:bookmarkEnd w:id="0"/>
      <w:bookmarkEnd w:id="1"/>
      <w:r w:rsidRPr="00C82CF2">
        <w:rPr>
          <w:rFonts w:ascii="Arial" w:eastAsia="Calibri" w:hAnsi="Arial" w:cs="Arial"/>
          <w:sz w:val="23"/>
          <w:szCs w:val="23"/>
          <w:lang w:val="es-MX" w:eastAsia="en-US"/>
        </w:rPr>
        <w:t xml:space="preserve">, Secretaria Técnica; el </w:t>
      </w:r>
      <w:r w:rsidRPr="00C82CF2">
        <w:rPr>
          <w:rFonts w:ascii="Arial" w:eastAsia="Calibri" w:hAnsi="Arial" w:cs="Arial"/>
          <w:b/>
          <w:sz w:val="23"/>
          <w:szCs w:val="23"/>
          <w:lang w:val="es-MX" w:eastAsia="en-US"/>
        </w:rPr>
        <w:t xml:space="preserve">Lic. Miguel Navarro Flores, </w:t>
      </w:r>
      <w:r w:rsidRPr="00C82CF2">
        <w:rPr>
          <w:rFonts w:ascii="Arial" w:eastAsia="Calibri" w:hAnsi="Arial" w:cs="Arial"/>
          <w:sz w:val="23"/>
          <w:szCs w:val="23"/>
          <w:lang w:val="es-MX" w:eastAsia="en-US"/>
        </w:rPr>
        <w:t>Titular de la Unidad de Transparencia de este sujeto obligado; l</w:t>
      </w:r>
      <w:r w:rsidR="00AA500E" w:rsidRPr="00C82CF2">
        <w:rPr>
          <w:rFonts w:ascii="Arial" w:eastAsia="Calibri" w:hAnsi="Arial" w:cs="Arial"/>
          <w:sz w:val="23"/>
          <w:szCs w:val="23"/>
          <w:lang w:val="es-MX" w:eastAsia="en-US"/>
        </w:rPr>
        <w:t>a</w:t>
      </w:r>
      <w:r w:rsidRPr="00C82CF2">
        <w:rPr>
          <w:rFonts w:ascii="Arial" w:eastAsia="Calibri" w:hAnsi="Arial" w:cs="Arial"/>
          <w:sz w:val="23"/>
          <w:szCs w:val="23"/>
          <w:lang w:val="es-MX" w:eastAsia="en-US"/>
        </w:rPr>
        <w:t xml:space="preserve"> </w:t>
      </w:r>
      <w:bookmarkStart w:id="2" w:name="_Hlk113966197"/>
      <w:r w:rsidR="00AA500E" w:rsidRPr="00C82CF2">
        <w:rPr>
          <w:rFonts w:ascii="Arial" w:eastAsia="Calibri" w:hAnsi="Arial" w:cs="Arial"/>
          <w:b/>
          <w:sz w:val="23"/>
          <w:szCs w:val="23"/>
          <w:lang w:val="es-MX" w:eastAsia="en-US"/>
        </w:rPr>
        <w:t xml:space="preserve">L.C.P. </w:t>
      </w:r>
      <w:bookmarkStart w:id="3" w:name="_Hlk113537457"/>
      <w:r w:rsidR="00AA500E" w:rsidRPr="00C82CF2">
        <w:rPr>
          <w:rFonts w:ascii="Arial" w:eastAsia="Calibri" w:hAnsi="Arial" w:cs="Arial"/>
          <w:b/>
          <w:sz w:val="23"/>
          <w:szCs w:val="23"/>
          <w:lang w:val="es-MX" w:eastAsia="en-US"/>
        </w:rPr>
        <w:t>Claudia Verónica Gómez González</w:t>
      </w:r>
      <w:bookmarkEnd w:id="2"/>
      <w:bookmarkEnd w:id="3"/>
      <w:r w:rsidRPr="00C82CF2">
        <w:rPr>
          <w:rFonts w:ascii="Arial" w:eastAsia="Calibri" w:hAnsi="Arial" w:cs="Arial"/>
          <w:sz w:val="23"/>
          <w:szCs w:val="23"/>
          <w:lang w:val="es-MX" w:eastAsia="en-US"/>
        </w:rPr>
        <w:t xml:space="preserve">, </w:t>
      </w:r>
      <w:bookmarkStart w:id="4" w:name="_Hlk113537495"/>
      <w:r w:rsidR="00653773" w:rsidRPr="00C82CF2">
        <w:rPr>
          <w:rFonts w:ascii="Arial" w:eastAsia="Calibri" w:hAnsi="Arial" w:cs="Arial"/>
          <w:sz w:val="23"/>
          <w:szCs w:val="23"/>
          <w:lang w:val="es-MX" w:eastAsia="en-US"/>
        </w:rPr>
        <w:t>Jefa del Departamento de Auditoría</w:t>
      </w:r>
      <w:bookmarkEnd w:id="4"/>
      <w:r w:rsidRPr="00C82CF2">
        <w:rPr>
          <w:rFonts w:ascii="Arial" w:eastAsia="Calibri" w:hAnsi="Arial" w:cs="Arial"/>
          <w:sz w:val="23"/>
          <w:szCs w:val="23"/>
          <w:lang w:val="es-MX" w:eastAsia="en-US"/>
        </w:rPr>
        <w:t xml:space="preserve"> de esta Secretaría Ejecutiva</w:t>
      </w:r>
      <w:r w:rsidR="001542A0" w:rsidRPr="00C82CF2">
        <w:rPr>
          <w:rFonts w:ascii="Arial" w:eastAsia="Calibri" w:hAnsi="Arial" w:cs="Arial"/>
          <w:sz w:val="23"/>
          <w:szCs w:val="23"/>
          <w:lang w:val="es-MX" w:eastAsia="en-US"/>
        </w:rPr>
        <w:t xml:space="preserve">; </w:t>
      </w:r>
      <w:r w:rsidR="003603FF" w:rsidRPr="00C82CF2">
        <w:rPr>
          <w:rFonts w:ascii="Arial" w:eastAsia="Calibri" w:hAnsi="Arial" w:cs="Arial"/>
          <w:sz w:val="23"/>
          <w:szCs w:val="23"/>
          <w:lang w:val="es-MX" w:eastAsia="en-US"/>
        </w:rPr>
        <w:t xml:space="preserve">así como la </w:t>
      </w:r>
      <w:r w:rsidR="003603FF" w:rsidRPr="00C82CF2">
        <w:rPr>
          <w:rFonts w:ascii="Arial" w:eastAsia="Calibri" w:hAnsi="Arial" w:cs="Arial"/>
          <w:b/>
          <w:bCs/>
          <w:sz w:val="23"/>
          <w:szCs w:val="23"/>
          <w:lang w:val="es-MX" w:eastAsia="en-US"/>
        </w:rPr>
        <w:t xml:space="preserve">Mtra. </w:t>
      </w:r>
      <w:bookmarkStart w:id="5" w:name="_Hlk97732832"/>
      <w:r w:rsidR="003603FF" w:rsidRPr="00C82CF2">
        <w:rPr>
          <w:rFonts w:ascii="Arial" w:eastAsia="Calibri" w:hAnsi="Arial" w:cs="Arial"/>
          <w:b/>
          <w:bCs/>
          <w:sz w:val="23"/>
          <w:szCs w:val="23"/>
          <w:lang w:val="es-MX" w:eastAsia="en-US"/>
        </w:rPr>
        <w:t>Jessica Avalos Álvarez</w:t>
      </w:r>
      <w:bookmarkEnd w:id="5"/>
      <w:r w:rsidR="003603FF" w:rsidRPr="00C82CF2">
        <w:rPr>
          <w:rFonts w:ascii="Arial" w:eastAsia="Calibri" w:hAnsi="Arial" w:cs="Arial"/>
          <w:sz w:val="23"/>
          <w:szCs w:val="23"/>
          <w:lang w:val="es-MX" w:eastAsia="en-US"/>
        </w:rPr>
        <w:t>, Titular del Área de Archivo siendo así, se somete a los presentes el siguiente:</w:t>
      </w:r>
      <w:r w:rsidRPr="00C82CF2">
        <w:rPr>
          <w:rFonts w:ascii="Arial" w:eastAsia="Calibri" w:hAnsi="Arial" w:cs="Arial"/>
          <w:sz w:val="23"/>
          <w:szCs w:val="23"/>
          <w:lang w:val="es-MX" w:eastAsia="en-US"/>
        </w:rPr>
        <w:t xml:space="preserve"> </w:t>
      </w:r>
    </w:p>
    <w:p w14:paraId="638606E2" w14:textId="77777777" w:rsidR="00C7511B" w:rsidRPr="00C82CF2" w:rsidRDefault="00C7511B" w:rsidP="004B3D3D">
      <w:pPr>
        <w:spacing w:after="160" w:line="259" w:lineRule="auto"/>
        <w:jc w:val="center"/>
        <w:rPr>
          <w:rFonts w:ascii="Arial" w:eastAsia="Calibri" w:hAnsi="Arial" w:cs="Arial"/>
          <w:b/>
          <w:sz w:val="23"/>
          <w:szCs w:val="23"/>
          <w:lang w:val="es-MX" w:eastAsia="en-US"/>
        </w:rPr>
      </w:pPr>
    </w:p>
    <w:p w14:paraId="1E92859A" w14:textId="2A2EE14D" w:rsidR="005A37CB" w:rsidRPr="00C82CF2" w:rsidRDefault="005A37CB" w:rsidP="004B3D3D">
      <w:pPr>
        <w:spacing w:after="160" w:line="259" w:lineRule="auto"/>
        <w:jc w:val="center"/>
        <w:rPr>
          <w:rFonts w:ascii="Arial" w:eastAsia="Calibri" w:hAnsi="Arial" w:cs="Arial"/>
          <w:b/>
          <w:sz w:val="23"/>
          <w:szCs w:val="23"/>
          <w:lang w:val="es-MX" w:eastAsia="en-US"/>
        </w:rPr>
      </w:pPr>
      <w:r w:rsidRPr="00C82CF2">
        <w:rPr>
          <w:rFonts w:ascii="Arial" w:eastAsia="Calibri" w:hAnsi="Arial" w:cs="Arial"/>
          <w:b/>
          <w:sz w:val="23"/>
          <w:szCs w:val="23"/>
          <w:lang w:val="es-MX" w:eastAsia="en-US"/>
        </w:rPr>
        <w:t>ORDEN DEL DÍA</w:t>
      </w:r>
    </w:p>
    <w:p w14:paraId="58BA98ED" w14:textId="77777777" w:rsidR="00653C07" w:rsidRPr="00C82CF2" w:rsidRDefault="00653C07" w:rsidP="004B3D3D">
      <w:pPr>
        <w:numPr>
          <w:ilvl w:val="0"/>
          <w:numId w:val="20"/>
        </w:numPr>
        <w:spacing w:line="254" w:lineRule="auto"/>
        <w:jc w:val="both"/>
        <w:rPr>
          <w:rFonts w:ascii="Arial" w:eastAsia="Calibri" w:hAnsi="Arial" w:cs="Arial"/>
          <w:sz w:val="23"/>
          <w:szCs w:val="23"/>
          <w:lang w:val="es-MX" w:eastAsia="en-US"/>
        </w:rPr>
      </w:pPr>
      <w:bookmarkStart w:id="6" w:name="_Hlk21512778"/>
      <w:r w:rsidRPr="00C82CF2">
        <w:rPr>
          <w:rFonts w:ascii="Arial" w:eastAsia="Calibri" w:hAnsi="Arial" w:cs="Arial"/>
          <w:sz w:val="23"/>
          <w:szCs w:val="23"/>
          <w:lang w:val="es-MX" w:eastAsia="en-US"/>
        </w:rPr>
        <w:t>Lista de asistencia;</w:t>
      </w:r>
    </w:p>
    <w:p w14:paraId="0989AE38" w14:textId="77777777" w:rsidR="00653C07" w:rsidRPr="00C82CF2" w:rsidRDefault="00653C07" w:rsidP="004B3D3D">
      <w:pPr>
        <w:numPr>
          <w:ilvl w:val="0"/>
          <w:numId w:val="20"/>
        </w:numPr>
        <w:spacing w:line="254" w:lineRule="auto"/>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Declaratoria de quórum;</w:t>
      </w:r>
    </w:p>
    <w:p w14:paraId="01ED3FF6" w14:textId="12C6BD84" w:rsidR="00653C07" w:rsidRPr="00C82CF2" w:rsidRDefault="00653C07" w:rsidP="004B3D3D">
      <w:pPr>
        <w:numPr>
          <w:ilvl w:val="0"/>
          <w:numId w:val="20"/>
        </w:numPr>
        <w:spacing w:line="254" w:lineRule="auto"/>
        <w:jc w:val="both"/>
        <w:rPr>
          <w:rFonts w:ascii="Arial" w:eastAsiaTheme="minorHAnsi" w:hAnsi="Arial" w:cs="Arial"/>
          <w:sz w:val="23"/>
          <w:szCs w:val="23"/>
          <w:lang w:eastAsia="en-US"/>
        </w:rPr>
      </w:pPr>
      <w:r w:rsidRPr="00C82CF2">
        <w:rPr>
          <w:rFonts w:ascii="Arial" w:eastAsia="Calibri" w:hAnsi="Arial" w:cs="Arial"/>
          <w:sz w:val="23"/>
          <w:szCs w:val="23"/>
          <w:lang w:val="es-MX" w:eastAsia="en-US"/>
        </w:rPr>
        <w:t>Lectura y en su caso, aprobación del Orden del Día;</w:t>
      </w:r>
      <w:r w:rsidR="00B052EF" w:rsidRPr="00C82CF2">
        <w:rPr>
          <w:rFonts w:ascii="Arial" w:eastAsia="Calibri" w:hAnsi="Arial" w:cs="Arial"/>
          <w:sz w:val="23"/>
          <w:szCs w:val="23"/>
          <w:lang w:val="es-MX" w:eastAsia="en-US"/>
        </w:rPr>
        <w:t xml:space="preserve"> y</w:t>
      </w:r>
    </w:p>
    <w:p w14:paraId="593DA723" w14:textId="43300CFF" w:rsidR="00CA2449" w:rsidRPr="00C82CF2" w:rsidRDefault="00CA2449" w:rsidP="00CA2449">
      <w:pPr>
        <w:numPr>
          <w:ilvl w:val="0"/>
          <w:numId w:val="20"/>
        </w:numPr>
        <w:spacing w:line="252" w:lineRule="auto"/>
        <w:jc w:val="both"/>
        <w:rPr>
          <w:rFonts w:ascii="Arial" w:eastAsiaTheme="minorHAnsi" w:hAnsi="Arial" w:cs="Arial"/>
          <w:sz w:val="23"/>
          <w:szCs w:val="23"/>
          <w:lang w:eastAsia="en-US"/>
        </w:rPr>
      </w:pPr>
      <w:r w:rsidRPr="00C82CF2">
        <w:rPr>
          <w:rFonts w:ascii="Arial" w:eastAsia="Calibri" w:hAnsi="Arial" w:cs="Arial"/>
          <w:sz w:val="23"/>
          <w:szCs w:val="23"/>
          <w:lang w:val="es-MX" w:eastAsia="en-US"/>
        </w:rPr>
        <w:t xml:space="preserve">Aprobación, en su caso, de las versiones públicas de los correos enviados, recibidos, así como sus adjuntos, por el personal adscrito a la Dirección de Políticas Públicas </w:t>
      </w:r>
      <w:r w:rsidRPr="00C82CF2">
        <w:rPr>
          <w:rFonts w:ascii="Arial" w:eastAsia="Times New Roman" w:hAnsi="Arial" w:cs="Arial"/>
          <w:color w:val="000000"/>
          <w:sz w:val="23"/>
          <w:szCs w:val="23"/>
          <w:lang w:val="es-MX" w:eastAsia="es-MX"/>
        </w:rPr>
        <w:t>de la Secretaría Ejecutiva del Sistema Estatal Anticorrupción del Estado de Jalisco</w:t>
      </w:r>
      <w:r w:rsidRPr="00C82CF2">
        <w:rPr>
          <w:rFonts w:ascii="Arial" w:eastAsia="Calibri" w:hAnsi="Arial" w:cs="Arial"/>
          <w:bCs/>
          <w:sz w:val="23"/>
          <w:szCs w:val="23"/>
          <w:lang w:val="es-MX" w:eastAsia="en-US"/>
        </w:rPr>
        <w:t>,</w:t>
      </w:r>
      <w:r w:rsidRPr="00C82CF2">
        <w:rPr>
          <w:rFonts w:ascii="Arial" w:eastAsia="Calibri" w:hAnsi="Arial" w:cs="Arial"/>
          <w:sz w:val="23"/>
          <w:szCs w:val="23"/>
          <w:lang w:val="es-MX" w:eastAsia="en-US"/>
        </w:rPr>
        <w:t xml:space="preserve"> requeridos mediante la solicitud de información a la que se le asignara el número de expediente interno SESAJ/UT/187/2022.</w:t>
      </w:r>
    </w:p>
    <w:p w14:paraId="44E87E28" w14:textId="71F2E944" w:rsidR="005A37CB" w:rsidRPr="00C82CF2" w:rsidRDefault="005A37CB" w:rsidP="004B3D3D">
      <w:pPr>
        <w:spacing w:after="160" w:line="252" w:lineRule="auto"/>
        <w:ind w:left="720"/>
        <w:contextualSpacing/>
        <w:jc w:val="both"/>
        <w:rPr>
          <w:rFonts w:ascii="Arial" w:eastAsia="Times New Roman" w:hAnsi="Arial" w:cs="Arial"/>
          <w:sz w:val="23"/>
          <w:szCs w:val="23"/>
        </w:rPr>
      </w:pPr>
    </w:p>
    <w:p w14:paraId="0EEBD5C2" w14:textId="77777777" w:rsidR="004731B4" w:rsidRPr="00C82CF2" w:rsidRDefault="004731B4" w:rsidP="004B3D3D">
      <w:pPr>
        <w:spacing w:after="160" w:line="252" w:lineRule="auto"/>
        <w:ind w:left="720"/>
        <w:contextualSpacing/>
        <w:jc w:val="both"/>
        <w:rPr>
          <w:rFonts w:ascii="Arial" w:eastAsia="Times New Roman" w:hAnsi="Arial" w:cs="Arial"/>
          <w:sz w:val="23"/>
          <w:szCs w:val="23"/>
        </w:rPr>
      </w:pPr>
    </w:p>
    <w:bookmarkEnd w:id="6"/>
    <w:p w14:paraId="59F8F0E5" w14:textId="096457CF" w:rsidR="003931DE" w:rsidRPr="00C82CF2" w:rsidRDefault="005A37CB" w:rsidP="004B3D3D">
      <w:pPr>
        <w:spacing w:after="160" w:line="259" w:lineRule="auto"/>
        <w:rPr>
          <w:rFonts w:ascii="Arial" w:eastAsia="Calibri" w:hAnsi="Arial" w:cs="Arial"/>
          <w:b/>
          <w:sz w:val="23"/>
          <w:szCs w:val="23"/>
          <w:lang w:val="es-MX" w:eastAsia="en-US"/>
        </w:rPr>
      </w:pPr>
      <w:r w:rsidRPr="00C82CF2">
        <w:rPr>
          <w:rFonts w:ascii="Arial" w:eastAsia="Calibri" w:hAnsi="Arial" w:cs="Arial"/>
          <w:b/>
          <w:sz w:val="23"/>
          <w:szCs w:val="23"/>
          <w:lang w:val="es-MX" w:eastAsia="en-US"/>
        </w:rPr>
        <w:t>DESAHOGO DE LA ORDEN DEL DÍA</w:t>
      </w:r>
    </w:p>
    <w:p w14:paraId="698957F2" w14:textId="77777777" w:rsidR="009D3D64" w:rsidRPr="00C82CF2" w:rsidRDefault="009D3D64" w:rsidP="004B3D3D">
      <w:pPr>
        <w:spacing w:after="160" w:line="259" w:lineRule="auto"/>
        <w:rPr>
          <w:rFonts w:ascii="Arial" w:eastAsia="Calibri" w:hAnsi="Arial" w:cs="Arial"/>
          <w:b/>
          <w:sz w:val="23"/>
          <w:szCs w:val="23"/>
          <w:lang w:val="es-MX" w:eastAsia="en-US"/>
        </w:rPr>
      </w:pPr>
    </w:p>
    <w:p w14:paraId="4D6DE337" w14:textId="77777777" w:rsidR="005A37CB" w:rsidRPr="00C82CF2"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C82CF2">
        <w:rPr>
          <w:rFonts w:ascii="Arial" w:eastAsia="Calibri" w:hAnsi="Arial" w:cs="Arial"/>
          <w:b/>
          <w:sz w:val="23"/>
          <w:szCs w:val="23"/>
          <w:lang w:val="es-MX" w:eastAsia="en-US"/>
        </w:rPr>
        <w:t>LISTA DE ASISTENCIA;</w:t>
      </w:r>
    </w:p>
    <w:p w14:paraId="0BB29544" w14:textId="77777777" w:rsidR="005A37CB" w:rsidRPr="00C82CF2" w:rsidRDefault="005A37CB" w:rsidP="004B3D3D">
      <w:pPr>
        <w:spacing w:after="160" w:line="259" w:lineRule="auto"/>
        <w:ind w:left="720"/>
        <w:contextualSpacing/>
        <w:jc w:val="both"/>
        <w:rPr>
          <w:rFonts w:ascii="Arial" w:eastAsia="Calibri" w:hAnsi="Arial" w:cs="Arial"/>
          <w:b/>
          <w:sz w:val="23"/>
          <w:szCs w:val="23"/>
          <w:lang w:val="es-MX" w:eastAsia="en-US"/>
        </w:rPr>
      </w:pPr>
    </w:p>
    <w:p w14:paraId="0062C205" w14:textId="35429B90" w:rsidR="00C7511B" w:rsidRPr="00C82CF2" w:rsidRDefault="005A37CB" w:rsidP="004B3D3D">
      <w:pPr>
        <w:tabs>
          <w:tab w:val="left" w:pos="284"/>
        </w:tabs>
        <w:spacing w:after="160" w:line="259" w:lineRule="auto"/>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Una vez analizado el punto 1 del orden del día, se anexa a la memoria documental de esta acta, la lista de asistencia, la cual da fe de que se encuentran presentes en este acto los integrantes del Comité de Transparencia.</w:t>
      </w:r>
    </w:p>
    <w:p w14:paraId="5756C5C5" w14:textId="77777777" w:rsidR="00C82CF2" w:rsidRPr="00C82CF2" w:rsidRDefault="00C82CF2" w:rsidP="004B3D3D">
      <w:pPr>
        <w:tabs>
          <w:tab w:val="left" w:pos="284"/>
        </w:tabs>
        <w:spacing w:after="160" w:line="259" w:lineRule="auto"/>
        <w:jc w:val="both"/>
        <w:rPr>
          <w:rFonts w:ascii="Arial" w:eastAsia="Calibri" w:hAnsi="Arial" w:cs="Arial"/>
          <w:sz w:val="23"/>
          <w:szCs w:val="23"/>
          <w:lang w:val="es-MX" w:eastAsia="en-US"/>
        </w:rPr>
      </w:pPr>
    </w:p>
    <w:p w14:paraId="3AF70724" w14:textId="4EF3C055" w:rsidR="005A37CB" w:rsidRPr="00C82CF2"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C82CF2">
        <w:rPr>
          <w:rFonts w:ascii="Arial" w:eastAsia="Calibri" w:hAnsi="Arial" w:cs="Arial"/>
          <w:b/>
          <w:sz w:val="23"/>
          <w:szCs w:val="23"/>
          <w:lang w:val="es-MX" w:eastAsia="en-US"/>
        </w:rPr>
        <w:t>DECLARACIÓN DEL QUORUM;</w:t>
      </w:r>
    </w:p>
    <w:p w14:paraId="78266DB8" w14:textId="77777777" w:rsidR="00170C07" w:rsidRPr="00C82CF2" w:rsidRDefault="00170C07" w:rsidP="00170C07">
      <w:pPr>
        <w:spacing w:after="160" w:line="259" w:lineRule="auto"/>
        <w:ind w:left="720"/>
        <w:contextualSpacing/>
        <w:jc w:val="both"/>
        <w:rPr>
          <w:rFonts w:ascii="Arial" w:eastAsia="Calibri" w:hAnsi="Arial" w:cs="Arial"/>
          <w:b/>
          <w:sz w:val="23"/>
          <w:szCs w:val="23"/>
          <w:lang w:val="es-MX" w:eastAsia="en-US"/>
        </w:rPr>
      </w:pPr>
    </w:p>
    <w:p w14:paraId="64A5B2D6" w14:textId="5B5FA34B" w:rsidR="00C7511B" w:rsidRDefault="005A37CB" w:rsidP="004B3D3D">
      <w:pPr>
        <w:spacing w:after="160" w:line="259" w:lineRule="auto"/>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lastRenderedPageBreak/>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F085F2A" w14:textId="77777777" w:rsidR="00C82CF2" w:rsidRPr="00C82CF2" w:rsidRDefault="00C82CF2" w:rsidP="004B3D3D">
      <w:pPr>
        <w:spacing w:after="160" w:line="259" w:lineRule="auto"/>
        <w:jc w:val="both"/>
        <w:rPr>
          <w:rFonts w:ascii="Arial" w:eastAsia="Calibri" w:hAnsi="Arial" w:cs="Arial"/>
          <w:sz w:val="23"/>
          <w:szCs w:val="23"/>
          <w:lang w:val="es-MX" w:eastAsia="en-US"/>
        </w:rPr>
      </w:pPr>
    </w:p>
    <w:p w14:paraId="2BECCA05" w14:textId="77777777" w:rsidR="005A37CB" w:rsidRPr="00C82CF2"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C82CF2">
        <w:rPr>
          <w:rFonts w:ascii="Arial" w:eastAsia="Calibri" w:hAnsi="Arial" w:cs="Arial"/>
          <w:b/>
          <w:sz w:val="23"/>
          <w:szCs w:val="23"/>
          <w:lang w:val="es-MX" w:eastAsia="en-US"/>
        </w:rPr>
        <w:t>LECTURA Y EN SU CASO, APROBACIÓN DEL ORDEN DEL DÍA</w:t>
      </w:r>
    </w:p>
    <w:p w14:paraId="360EF91C" w14:textId="77777777" w:rsidR="005A37CB" w:rsidRPr="00C82CF2" w:rsidRDefault="005A37CB" w:rsidP="004B3D3D">
      <w:pPr>
        <w:spacing w:after="160" w:line="259" w:lineRule="auto"/>
        <w:ind w:left="720"/>
        <w:contextualSpacing/>
        <w:jc w:val="both"/>
        <w:rPr>
          <w:rFonts w:ascii="Arial" w:eastAsia="Calibri" w:hAnsi="Arial" w:cs="Arial"/>
          <w:b/>
          <w:sz w:val="23"/>
          <w:szCs w:val="23"/>
          <w:lang w:val="es-MX" w:eastAsia="en-US"/>
        </w:rPr>
      </w:pPr>
    </w:p>
    <w:p w14:paraId="204E8E4A" w14:textId="50A1EF79" w:rsidR="004731B4" w:rsidRPr="00C82CF2" w:rsidRDefault="005A37CB" w:rsidP="004B3D3D">
      <w:pPr>
        <w:spacing w:after="160" w:line="259" w:lineRule="auto"/>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 xml:space="preserve">Se cuestiona a los asistentes si es de aprobarse el orden del día propuesto, a lo cual se accede de forma unánime, con lo que se da por desahogado dicho punto. </w:t>
      </w:r>
    </w:p>
    <w:p w14:paraId="7C625858" w14:textId="77777777" w:rsidR="00D67FB7" w:rsidRPr="00C82CF2" w:rsidRDefault="00D67FB7" w:rsidP="004B3D3D">
      <w:pPr>
        <w:spacing w:after="160" w:line="259" w:lineRule="auto"/>
        <w:jc w:val="both"/>
        <w:rPr>
          <w:rFonts w:ascii="Arial" w:eastAsia="Calibri" w:hAnsi="Arial" w:cs="Arial"/>
          <w:sz w:val="23"/>
          <w:szCs w:val="23"/>
          <w:lang w:val="es-MX" w:eastAsia="en-US"/>
        </w:rPr>
      </w:pPr>
    </w:p>
    <w:p w14:paraId="212579D2" w14:textId="1FB80A19" w:rsidR="00CA2449" w:rsidRPr="00C82CF2" w:rsidRDefault="00CA2449" w:rsidP="00CA2449">
      <w:pPr>
        <w:pStyle w:val="Prrafodelista"/>
        <w:numPr>
          <w:ilvl w:val="0"/>
          <w:numId w:val="19"/>
        </w:numPr>
        <w:spacing w:line="252" w:lineRule="auto"/>
        <w:rPr>
          <w:rFonts w:ascii="Arial" w:eastAsiaTheme="minorHAnsi" w:hAnsi="Arial" w:cs="Arial"/>
          <w:b/>
          <w:bCs/>
          <w:sz w:val="23"/>
          <w:szCs w:val="23"/>
          <w:lang w:eastAsia="en-US"/>
        </w:rPr>
      </w:pPr>
      <w:r w:rsidRPr="00C82CF2">
        <w:rPr>
          <w:rFonts w:ascii="Arial" w:eastAsia="Calibri" w:hAnsi="Arial" w:cs="Arial"/>
          <w:b/>
          <w:bCs/>
          <w:sz w:val="23"/>
          <w:szCs w:val="23"/>
          <w:lang w:val="es-MX" w:eastAsia="en-US"/>
        </w:rPr>
        <w:t xml:space="preserve">APROBACIÓN, EN SU CASO, DE LAS VERSIONES PÚBLICAS DE LOS CORREOS ENVIADOS, </w:t>
      </w:r>
      <w:proofErr w:type="gramStart"/>
      <w:r w:rsidRPr="00C82CF2">
        <w:rPr>
          <w:rFonts w:ascii="Arial" w:eastAsia="Calibri" w:hAnsi="Arial" w:cs="Arial"/>
          <w:b/>
          <w:bCs/>
          <w:sz w:val="23"/>
          <w:szCs w:val="23"/>
          <w:lang w:val="es-MX" w:eastAsia="en-US"/>
        </w:rPr>
        <w:t>RECIBIDOS</w:t>
      </w:r>
      <w:proofErr w:type="gramEnd"/>
      <w:r w:rsidRPr="00C82CF2">
        <w:rPr>
          <w:rFonts w:ascii="Arial" w:eastAsia="Calibri" w:hAnsi="Arial" w:cs="Arial"/>
          <w:b/>
          <w:bCs/>
          <w:sz w:val="23"/>
          <w:szCs w:val="23"/>
          <w:lang w:val="es-MX" w:eastAsia="en-US"/>
        </w:rPr>
        <w:t xml:space="preserve"> ASÍ COMO SUS ADJUNTOS, POR EL PERSONAL ADSCRITO A LA DIRECCIÓN DE POLÍTICAS PÚBLICAS </w:t>
      </w:r>
      <w:r w:rsidRPr="00C82CF2">
        <w:rPr>
          <w:rFonts w:ascii="Arial" w:hAnsi="Arial" w:cs="Arial"/>
          <w:b/>
          <w:bCs/>
          <w:color w:val="000000"/>
          <w:sz w:val="23"/>
          <w:szCs w:val="23"/>
          <w:lang w:val="es-MX" w:eastAsia="es-MX"/>
        </w:rPr>
        <w:t>DE LA SECRETARÍA EJECUTIVA DEL SISTEMA ESTATAL ANTICORRUPCIÓN DEL ESTADO DE JALISCO</w:t>
      </w:r>
      <w:r w:rsidRPr="00C82CF2">
        <w:rPr>
          <w:rFonts w:ascii="Arial" w:eastAsia="Calibri" w:hAnsi="Arial" w:cs="Arial"/>
          <w:b/>
          <w:bCs/>
          <w:sz w:val="23"/>
          <w:szCs w:val="23"/>
          <w:lang w:val="es-MX" w:eastAsia="en-US"/>
        </w:rPr>
        <w:t>, REQUERIDOS MEDIANTE LA SOLICITUD DE INFORMACIÓN A LA QUE SE LE ASIGNARA EL NÚMERO DE EXPEDIENTE INTERNO SESAJ/UT/187/2022.</w:t>
      </w:r>
    </w:p>
    <w:p w14:paraId="1FCC8862" w14:textId="77777777" w:rsidR="00F4780C" w:rsidRPr="00C82CF2" w:rsidRDefault="00F4780C" w:rsidP="00B052EF">
      <w:pPr>
        <w:jc w:val="both"/>
        <w:rPr>
          <w:rFonts w:ascii="Arial" w:hAnsi="Arial" w:cs="Arial"/>
          <w:sz w:val="23"/>
          <w:szCs w:val="23"/>
        </w:rPr>
      </w:pPr>
    </w:p>
    <w:p w14:paraId="6784A6AE" w14:textId="091F44E6" w:rsidR="00B052EF" w:rsidRPr="00C82CF2" w:rsidRDefault="00B052EF" w:rsidP="00B052EF">
      <w:pPr>
        <w:jc w:val="both"/>
        <w:rPr>
          <w:rFonts w:ascii="Arial" w:eastAsia="Calibri" w:hAnsi="Arial" w:cs="Arial"/>
          <w:sz w:val="23"/>
          <w:szCs w:val="23"/>
          <w:lang w:val="es-MX" w:eastAsia="en-US"/>
        </w:rPr>
      </w:pPr>
      <w:r w:rsidRPr="00C82CF2">
        <w:rPr>
          <w:rFonts w:ascii="Arial" w:hAnsi="Arial" w:cs="Arial"/>
          <w:sz w:val="23"/>
          <w:szCs w:val="23"/>
        </w:rPr>
        <w:t xml:space="preserve">En esa lid el secretario expone que el día </w:t>
      </w:r>
      <w:r w:rsidR="00CA2449" w:rsidRPr="00C82CF2">
        <w:rPr>
          <w:rFonts w:ascii="Arial" w:hAnsi="Arial" w:cs="Arial"/>
          <w:sz w:val="23"/>
          <w:szCs w:val="23"/>
        </w:rPr>
        <w:t>02</w:t>
      </w:r>
      <w:r w:rsidRPr="00C82CF2">
        <w:rPr>
          <w:rFonts w:ascii="Arial" w:hAnsi="Arial" w:cs="Arial"/>
          <w:sz w:val="23"/>
          <w:szCs w:val="23"/>
        </w:rPr>
        <w:t xml:space="preserve"> de </w:t>
      </w:r>
      <w:r w:rsidR="00CA2449" w:rsidRPr="00C82CF2">
        <w:rPr>
          <w:rFonts w:ascii="Arial" w:hAnsi="Arial" w:cs="Arial"/>
          <w:sz w:val="23"/>
          <w:szCs w:val="23"/>
        </w:rPr>
        <w:t>noviembre</w:t>
      </w:r>
      <w:r w:rsidRPr="00C82CF2">
        <w:rPr>
          <w:rFonts w:ascii="Arial" w:hAnsi="Arial" w:cs="Arial"/>
          <w:sz w:val="23"/>
          <w:szCs w:val="23"/>
        </w:rPr>
        <w:t xml:space="preserve"> del año 202</w:t>
      </w:r>
      <w:r w:rsidR="00C82CF2" w:rsidRPr="00C82CF2">
        <w:rPr>
          <w:rFonts w:ascii="Arial" w:hAnsi="Arial" w:cs="Arial"/>
          <w:sz w:val="23"/>
          <w:szCs w:val="23"/>
        </w:rPr>
        <w:t>2</w:t>
      </w:r>
      <w:r w:rsidRPr="00C82CF2">
        <w:rPr>
          <w:rFonts w:ascii="Arial" w:hAnsi="Arial" w:cs="Arial"/>
          <w:sz w:val="23"/>
          <w:szCs w:val="23"/>
        </w:rPr>
        <w:t xml:space="preserve">, se recibió </w:t>
      </w:r>
      <w:r w:rsidR="00092550" w:rsidRPr="00C82CF2">
        <w:rPr>
          <w:rFonts w:ascii="Arial" w:hAnsi="Arial" w:cs="Arial"/>
          <w:sz w:val="23"/>
          <w:szCs w:val="23"/>
        </w:rPr>
        <w:t>mediante</w:t>
      </w:r>
      <w:r w:rsidR="00CA2449" w:rsidRPr="00C82CF2">
        <w:rPr>
          <w:rFonts w:ascii="Arial" w:hAnsi="Arial" w:cs="Arial"/>
          <w:sz w:val="23"/>
          <w:szCs w:val="23"/>
        </w:rPr>
        <w:t xml:space="preserve"> la Plataforma Nacional de Transparencia</w:t>
      </w:r>
      <w:r w:rsidR="00092550" w:rsidRPr="00C82CF2">
        <w:rPr>
          <w:rFonts w:ascii="Arial" w:hAnsi="Arial" w:cs="Arial"/>
          <w:sz w:val="23"/>
          <w:szCs w:val="23"/>
        </w:rPr>
        <w:t xml:space="preserve">, </w:t>
      </w:r>
      <w:r w:rsidR="00CA2449" w:rsidRPr="00C82CF2">
        <w:rPr>
          <w:rFonts w:ascii="Arial" w:hAnsi="Arial" w:cs="Arial"/>
          <w:sz w:val="23"/>
          <w:szCs w:val="23"/>
        </w:rPr>
        <w:t>la solicitud de información bajo el número de folio 141989722000132</w:t>
      </w:r>
      <w:r w:rsidR="00092550" w:rsidRPr="00C82CF2">
        <w:rPr>
          <w:rFonts w:ascii="Arial" w:hAnsi="Arial" w:cs="Arial"/>
          <w:sz w:val="23"/>
          <w:szCs w:val="23"/>
        </w:rPr>
        <w:t>,</w:t>
      </w:r>
      <w:r w:rsidRPr="00C82CF2">
        <w:rPr>
          <w:rFonts w:ascii="Arial" w:hAnsi="Arial" w:cs="Arial"/>
          <w:sz w:val="23"/>
          <w:szCs w:val="23"/>
        </w:rPr>
        <w:t xml:space="preserve"> a la que se le asignara número de expediente interno </w:t>
      </w:r>
      <w:r w:rsidRPr="00C82CF2">
        <w:rPr>
          <w:rFonts w:ascii="Arial" w:eastAsia="Calibri" w:hAnsi="Arial" w:cs="Arial"/>
          <w:sz w:val="23"/>
          <w:szCs w:val="23"/>
          <w:lang w:val="es-MX" w:eastAsia="en-US"/>
        </w:rPr>
        <w:t>SESAJ/UT/</w:t>
      </w:r>
      <w:r w:rsidR="00CA2449" w:rsidRPr="00C82CF2">
        <w:rPr>
          <w:rFonts w:ascii="Arial" w:eastAsia="Calibri" w:hAnsi="Arial" w:cs="Arial"/>
          <w:sz w:val="23"/>
          <w:szCs w:val="23"/>
          <w:lang w:val="es-MX" w:eastAsia="en-US"/>
        </w:rPr>
        <w:t>187</w:t>
      </w:r>
      <w:r w:rsidRPr="00C82CF2">
        <w:rPr>
          <w:rFonts w:ascii="Arial" w:eastAsia="Calibri" w:hAnsi="Arial" w:cs="Arial"/>
          <w:sz w:val="23"/>
          <w:szCs w:val="23"/>
          <w:lang w:val="es-MX" w:eastAsia="en-US"/>
        </w:rPr>
        <w:t>/202</w:t>
      </w:r>
      <w:r w:rsidR="00092550" w:rsidRPr="00C82CF2">
        <w:rPr>
          <w:rFonts w:ascii="Arial" w:eastAsia="Calibri" w:hAnsi="Arial" w:cs="Arial"/>
          <w:sz w:val="23"/>
          <w:szCs w:val="23"/>
          <w:lang w:val="es-MX" w:eastAsia="en-US"/>
        </w:rPr>
        <w:t>2</w:t>
      </w:r>
      <w:r w:rsidR="00CA2449" w:rsidRPr="00C82CF2">
        <w:rPr>
          <w:rFonts w:ascii="Arial" w:eastAsia="Calibri" w:hAnsi="Arial" w:cs="Arial"/>
          <w:sz w:val="23"/>
          <w:szCs w:val="23"/>
          <w:lang w:val="es-MX" w:eastAsia="en-US"/>
        </w:rPr>
        <w:t>,</w:t>
      </w:r>
      <w:r w:rsidRPr="00C82CF2">
        <w:rPr>
          <w:rFonts w:ascii="Arial" w:eastAsia="Calibri" w:hAnsi="Arial" w:cs="Arial"/>
          <w:sz w:val="23"/>
          <w:szCs w:val="23"/>
          <w:lang w:val="es-MX" w:eastAsia="en-US"/>
        </w:rPr>
        <w:t xml:space="preserve"> en las que se requiere textualmente lo siguiente: </w:t>
      </w:r>
    </w:p>
    <w:p w14:paraId="18C00781" w14:textId="77777777" w:rsidR="00B052EF" w:rsidRPr="00C82CF2" w:rsidRDefault="00B052EF" w:rsidP="00B052EF">
      <w:pPr>
        <w:jc w:val="both"/>
        <w:rPr>
          <w:rFonts w:ascii="Arial" w:hAnsi="Arial" w:cs="Arial"/>
          <w:sz w:val="23"/>
          <w:szCs w:val="23"/>
        </w:rPr>
      </w:pPr>
    </w:p>
    <w:p w14:paraId="3FF5B7D4" w14:textId="77777777" w:rsidR="00CA2449" w:rsidRPr="00C82CF2" w:rsidRDefault="00CA2449" w:rsidP="00CA2449">
      <w:pPr>
        <w:autoSpaceDE w:val="0"/>
        <w:autoSpaceDN w:val="0"/>
        <w:adjustRightInd w:val="0"/>
        <w:ind w:left="426" w:right="425"/>
        <w:jc w:val="both"/>
        <w:rPr>
          <w:rFonts w:ascii="Arial" w:eastAsia="Cambria" w:hAnsi="Arial" w:cs="Arial"/>
          <w:b/>
          <w:bCs/>
          <w:i/>
          <w:iCs/>
          <w:sz w:val="23"/>
          <w:szCs w:val="23"/>
          <w:lang w:val="es-MX" w:eastAsia="es-MX"/>
        </w:rPr>
      </w:pPr>
      <w:r w:rsidRPr="00C82CF2">
        <w:rPr>
          <w:rFonts w:ascii="Arial" w:eastAsia="Times New Roman" w:hAnsi="Arial" w:cs="Arial"/>
          <w:b/>
          <w:bCs/>
          <w:i/>
          <w:iCs/>
          <w:color w:val="000000"/>
          <w:sz w:val="23"/>
          <w:szCs w:val="23"/>
          <w:lang w:val="es-MX" w:eastAsia="es-MX"/>
        </w:rPr>
        <w:t>“</w:t>
      </w:r>
      <w:r w:rsidRPr="00C82CF2">
        <w:rPr>
          <w:rFonts w:ascii="Arial" w:eastAsia="Cambria" w:hAnsi="Arial" w:cs="Arial"/>
          <w:b/>
          <w:bCs/>
          <w:i/>
          <w:iCs/>
          <w:sz w:val="23"/>
          <w:szCs w:val="23"/>
          <w:lang w:val="es-MX" w:eastAsia="es-MX"/>
        </w:rPr>
        <w:t>respecto del personal adscrito a la Dirección de Políticas Públicas correos enviados y recibidos con sus anexos, la agenda, relación de actividades y listas de entradas y salidas, permisos, vacaciones e incapacidades, etc. de 2005 a la fecha...(sic)”</w:t>
      </w:r>
    </w:p>
    <w:p w14:paraId="7FB7698B" w14:textId="77777777" w:rsidR="007E1291" w:rsidRPr="00C82CF2" w:rsidRDefault="007E1291" w:rsidP="007E1291">
      <w:pPr>
        <w:autoSpaceDE w:val="0"/>
        <w:autoSpaceDN w:val="0"/>
        <w:adjustRightInd w:val="0"/>
        <w:ind w:left="284" w:right="283"/>
        <w:jc w:val="both"/>
        <w:rPr>
          <w:rFonts w:ascii="Arial" w:eastAsia="Cambria" w:hAnsi="Arial" w:cs="Arial"/>
          <w:b/>
          <w:bCs/>
          <w:i/>
          <w:iCs/>
          <w:sz w:val="23"/>
          <w:szCs w:val="23"/>
          <w:lang w:val="es-MX" w:eastAsia="es-MX"/>
        </w:rPr>
      </w:pPr>
    </w:p>
    <w:p w14:paraId="0D4E1A30" w14:textId="666E2F8C" w:rsidR="00820D30" w:rsidRPr="00C82CF2" w:rsidRDefault="005408F2" w:rsidP="005408F2">
      <w:pPr>
        <w:tabs>
          <w:tab w:val="left" w:pos="9072"/>
        </w:tabs>
        <w:autoSpaceDE w:val="0"/>
        <w:autoSpaceDN w:val="0"/>
        <w:adjustRightInd w:val="0"/>
        <w:ind w:right="-94"/>
        <w:jc w:val="both"/>
        <w:rPr>
          <w:rFonts w:ascii="Arial" w:eastAsia="Times New Roman" w:hAnsi="Arial" w:cs="Arial"/>
          <w:color w:val="000000"/>
          <w:sz w:val="23"/>
          <w:szCs w:val="23"/>
          <w:lang w:val="es-MX" w:eastAsia="es-MX"/>
        </w:rPr>
      </w:pPr>
      <w:r w:rsidRPr="00C82CF2">
        <w:rPr>
          <w:rFonts w:ascii="Arial" w:eastAsia="Times New Roman" w:hAnsi="Arial" w:cs="Arial"/>
          <w:color w:val="000000"/>
          <w:sz w:val="23"/>
          <w:szCs w:val="23"/>
          <w:lang w:val="es-MX" w:eastAsia="es-MX"/>
        </w:rPr>
        <w:t>Dicho lo anterior,</w:t>
      </w:r>
      <w:r w:rsidR="00820D30" w:rsidRPr="00C82CF2">
        <w:rPr>
          <w:rFonts w:ascii="Arial" w:eastAsia="Times New Roman" w:hAnsi="Arial" w:cs="Arial"/>
          <w:color w:val="000000"/>
          <w:sz w:val="23"/>
          <w:szCs w:val="23"/>
          <w:lang w:val="es-MX" w:eastAsia="es-MX"/>
        </w:rPr>
        <w:t xml:space="preserve"> la Unidad de Transparencia, notificó a la Subdirección de Análisis Jurídico, quien es el enlace de transparencia de la Dirección de Políticas Públicas, mediante oficio SESAJ/UT/571/2022 de fecha 03 de noviembre del 2022; a lo que el enlace de transparencia mediante oficio </w:t>
      </w:r>
      <w:r w:rsidR="003D5128" w:rsidRPr="00C82CF2">
        <w:rPr>
          <w:rFonts w:ascii="Arial" w:eastAsia="Times New Roman" w:hAnsi="Arial" w:cs="Arial"/>
          <w:color w:val="000000"/>
          <w:sz w:val="23"/>
          <w:szCs w:val="23"/>
          <w:lang w:val="es-MX" w:eastAsia="es-MX"/>
        </w:rPr>
        <w:t>SESAJ/</w:t>
      </w:r>
      <w:r w:rsidR="00D84321" w:rsidRPr="00C82CF2">
        <w:rPr>
          <w:rFonts w:ascii="Arial" w:eastAsia="Times New Roman" w:hAnsi="Arial" w:cs="Arial"/>
          <w:color w:val="000000"/>
          <w:sz w:val="23"/>
          <w:szCs w:val="23"/>
          <w:lang w:val="es-MX" w:eastAsia="es-MX"/>
        </w:rPr>
        <w:t>DPP</w:t>
      </w:r>
      <w:r w:rsidR="003D5128" w:rsidRPr="00C82CF2">
        <w:rPr>
          <w:rFonts w:ascii="Arial" w:eastAsia="Times New Roman" w:hAnsi="Arial" w:cs="Arial"/>
          <w:color w:val="000000"/>
          <w:sz w:val="23"/>
          <w:szCs w:val="23"/>
          <w:lang w:val="es-MX" w:eastAsia="es-MX"/>
        </w:rPr>
        <w:t>/024/2022</w:t>
      </w:r>
      <w:r w:rsidR="00820D30" w:rsidRPr="00C82CF2">
        <w:rPr>
          <w:rFonts w:ascii="Arial" w:eastAsia="Times New Roman" w:hAnsi="Arial" w:cs="Arial"/>
          <w:color w:val="000000"/>
          <w:sz w:val="23"/>
          <w:szCs w:val="23"/>
          <w:lang w:val="es-MX" w:eastAsia="es-MX"/>
        </w:rPr>
        <w:t xml:space="preserve"> de fecha 08 de noviembre del año en curso menciono lo siguiente: </w:t>
      </w:r>
    </w:p>
    <w:p w14:paraId="3E4B8B70" w14:textId="733117C8" w:rsidR="00820D30" w:rsidRPr="00C82CF2" w:rsidRDefault="00820D30" w:rsidP="005408F2">
      <w:pPr>
        <w:tabs>
          <w:tab w:val="left" w:pos="9072"/>
        </w:tabs>
        <w:autoSpaceDE w:val="0"/>
        <w:autoSpaceDN w:val="0"/>
        <w:adjustRightInd w:val="0"/>
        <w:ind w:right="-94"/>
        <w:jc w:val="both"/>
        <w:rPr>
          <w:rFonts w:ascii="Arial" w:eastAsia="Times New Roman" w:hAnsi="Arial" w:cs="Arial"/>
          <w:color w:val="000000"/>
          <w:sz w:val="23"/>
          <w:szCs w:val="23"/>
          <w:lang w:val="es-MX" w:eastAsia="es-MX"/>
        </w:rPr>
      </w:pPr>
    </w:p>
    <w:p w14:paraId="68FCE5E7" w14:textId="64C417A9" w:rsidR="00123E67" w:rsidRPr="00C82CF2" w:rsidRDefault="00123E67" w:rsidP="00123E67">
      <w:pPr>
        <w:autoSpaceDE w:val="0"/>
        <w:autoSpaceDN w:val="0"/>
        <w:adjustRightInd w:val="0"/>
        <w:ind w:left="426" w:right="474"/>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“Cabe hacer mención que, en febrero del 2018, se le otorgo el nombramiento a la Primer </w:t>
      </w:r>
      <w:proofErr w:type="gramStart"/>
      <w:r w:rsidRPr="00C82CF2">
        <w:rPr>
          <w:rFonts w:ascii="Arial" w:eastAsia="Cambria" w:hAnsi="Arial" w:cs="Arial"/>
          <w:sz w:val="23"/>
          <w:szCs w:val="23"/>
          <w:lang w:val="es-MX" w:eastAsia="es-MX"/>
        </w:rPr>
        <w:t>Secretaria Técnica</w:t>
      </w:r>
      <w:proofErr w:type="gramEnd"/>
      <w:r w:rsidRPr="00C82CF2">
        <w:rPr>
          <w:rFonts w:ascii="Arial" w:eastAsia="Cambria" w:hAnsi="Arial" w:cs="Arial"/>
          <w:sz w:val="23"/>
          <w:szCs w:val="23"/>
          <w:lang w:val="es-MX" w:eastAsia="es-MX"/>
        </w:rPr>
        <w:t xml:space="preserve">, razón por la cual la información de los años de 2005 a 2017 es inexistente…(Sic)” </w:t>
      </w:r>
    </w:p>
    <w:p w14:paraId="51CC9379" w14:textId="77777777" w:rsidR="00123E67" w:rsidRPr="00C82CF2" w:rsidRDefault="00123E67" w:rsidP="00123E67">
      <w:pPr>
        <w:autoSpaceDE w:val="0"/>
        <w:autoSpaceDN w:val="0"/>
        <w:adjustRightInd w:val="0"/>
        <w:ind w:left="426" w:right="474"/>
        <w:jc w:val="both"/>
        <w:rPr>
          <w:rFonts w:ascii="Arial" w:eastAsia="Cambria" w:hAnsi="Arial" w:cs="Arial"/>
          <w:sz w:val="23"/>
          <w:szCs w:val="23"/>
          <w:lang w:val="es-MX" w:eastAsia="es-MX"/>
        </w:rPr>
      </w:pPr>
    </w:p>
    <w:p w14:paraId="3D840DF0" w14:textId="0E177A25" w:rsidR="00123E67" w:rsidRPr="00C82CF2" w:rsidRDefault="00123E67" w:rsidP="00123E67">
      <w:pPr>
        <w:autoSpaceDE w:val="0"/>
        <w:autoSpaceDN w:val="0"/>
        <w:adjustRightInd w:val="0"/>
        <w:ind w:right="425"/>
        <w:jc w:val="both"/>
        <w:rPr>
          <w:rFonts w:ascii="Arial" w:eastAsia="Cambria" w:hAnsi="Arial" w:cs="Arial"/>
          <w:sz w:val="23"/>
          <w:szCs w:val="23"/>
          <w:lang w:val="es-MX" w:eastAsia="es-MX"/>
        </w:rPr>
      </w:pPr>
    </w:p>
    <w:p w14:paraId="35B59BA2" w14:textId="1320668D" w:rsidR="00123E67" w:rsidRPr="00C82CF2" w:rsidRDefault="00123E67" w:rsidP="00123E67">
      <w:pPr>
        <w:autoSpaceDE w:val="0"/>
        <w:autoSpaceDN w:val="0"/>
        <w:adjustRightInd w:val="0"/>
        <w:ind w:right="425"/>
        <w:jc w:val="both"/>
        <w:rPr>
          <w:rFonts w:ascii="Arial" w:eastAsia="Cambria" w:hAnsi="Arial" w:cs="Arial"/>
          <w:sz w:val="23"/>
          <w:szCs w:val="23"/>
          <w:lang w:val="es-MX" w:eastAsia="es-MX"/>
        </w:rPr>
      </w:pPr>
    </w:p>
    <w:tbl>
      <w:tblPr>
        <w:tblStyle w:val="Tablaconcuadrcula"/>
        <w:tblW w:w="0" w:type="auto"/>
        <w:tblLook w:val="04A0" w:firstRow="1" w:lastRow="0" w:firstColumn="1" w:lastColumn="0" w:noHBand="0" w:noVBand="1"/>
      </w:tblPr>
      <w:tblGrid>
        <w:gridCol w:w="2351"/>
        <w:gridCol w:w="2867"/>
        <w:gridCol w:w="1865"/>
        <w:gridCol w:w="1745"/>
      </w:tblGrid>
      <w:tr w:rsidR="00123E67" w:rsidRPr="00C82CF2" w14:paraId="30E090C2" w14:textId="77777777" w:rsidTr="00006DA7">
        <w:tc>
          <w:tcPr>
            <w:tcW w:w="2351" w:type="dxa"/>
          </w:tcPr>
          <w:p w14:paraId="4F3E4CF0" w14:textId="3BBD35C2"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Nombre </w:t>
            </w:r>
          </w:p>
        </w:tc>
        <w:tc>
          <w:tcPr>
            <w:tcW w:w="2867" w:type="dxa"/>
          </w:tcPr>
          <w:p w14:paraId="241A8335"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Puesto </w:t>
            </w:r>
          </w:p>
        </w:tc>
        <w:tc>
          <w:tcPr>
            <w:tcW w:w="1865" w:type="dxa"/>
          </w:tcPr>
          <w:p w14:paraId="282850F0"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Cantidad de correos enviados </w:t>
            </w:r>
          </w:p>
        </w:tc>
        <w:tc>
          <w:tcPr>
            <w:tcW w:w="1745" w:type="dxa"/>
          </w:tcPr>
          <w:p w14:paraId="2DB5C202"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Cantidad de correos recibidos </w:t>
            </w:r>
          </w:p>
        </w:tc>
      </w:tr>
      <w:tr w:rsidR="00123E67" w:rsidRPr="00C82CF2" w14:paraId="5A7FF1FC" w14:textId="77777777" w:rsidTr="00006DA7">
        <w:tc>
          <w:tcPr>
            <w:tcW w:w="2351" w:type="dxa"/>
          </w:tcPr>
          <w:p w14:paraId="321E27A3"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lastRenderedPageBreak/>
              <w:t>Oscar González Ruiz</w:t>
            </w:r>
          </w:p>
        </w:tc>
        <w:tc>
          <w:tcPr>
            <w:tcW w:w="2867" w:type="dxa"/>
          </w:tcPr>
          <w:p w14:paraId="49E364CB"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Subdirector de Diseño, Seguimiento y Evaluación de Políticas Públicas</w:t>
            </w:r>
          </w:p>
        </w:tc>
        <w:tc>
          <w:tcPr>
            <w:tcW w:w="1865" w:type="dxa"/>
          </w:tcPr>
          <w:p w14:paraId="339E8BA6"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2,591</w:t>
            </w:r>
          </w:p>
        </w:tc>
        <w:tc>
          <w:tcPr>
            <w:tcW w:w="1745" w:type="dxa"/>
          </w:tcPr>
          <w:p w14:paraId="64603937"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4,064</w:t>
            </w:r>
          </w:p>
        </w:tc>
      </w:tr>
      <w:tr w:rsidR="00123E67" w:rsidRPr="00C82CF2" w14:paraId="3D3AD6E8" w14:textId="77777777" w:rsidTr="00006DA7">
        <w:tc>
          <w:tcPr>
            <w:tcW w:w="2351" w:type="dxa"/>
          </w:tcPr>
          <w:p w14:paraId="797325D0"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Esther Anahí Barajas Diaz</w:t>
            </w:r>
          </w:p>
        </w:tc>
        <w:tc>
          <w:tcPr>
            <w:tcW w:w="2867" w:type="dxa"/>
          </w:tcPr>
          <w:p w14:paraId="517E9186"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Analista Especializado</w:t>
            </w:r>
          </w:p>
        </w:tc>
        <w:tc>
          <w:tcPr>
            <w:tcW w:w="1865" w:type="dxa"/>
          </w:tcPr>
          <w:p w14:paraId="7FA1B058"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608</w:t>
            </w:r>
          </w:p>
        </w:tc>
        <w:tc>
          <w:tcPr>
            <w:tcW w:w="1745" w:type="dxa"/>
          </w:tcPr>
          <w:p w14:paraId="78F72B08"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1,538</w:t>
            </w:r>
          </w:p>
        </w:tc>
      </w:tr>
      <w:tr w:rsidR="00123E67" w:rsidRPr="00C82CF2" w14:paraId="4A569A4F" w14:textId="77777777" w:rsidTr="00006DA7">
        <w:tc>
          <w:tcPr>
            <w:tcW w:w="2351" w:type="dxa"/>
          </w:tcPr>
          <w:p w14:paraId="155345A5"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 xml:space="preserve">Rosario Edith Mendoza </w:t>
            </w:r>
            <w:proofErr w:type="spellStart"/>
            <w:r w:rsidRPr="00C82CF2">
              <w:rPr>
                <w:rFonts w:ascii="Arial" w:hAnsi="Arial" w:cs="Arial"/>
                <w:color w:val="000000"/>
                <w:sz w:val="23"/>
                <w:szCs w:val="23"/>
                <w:shd w:val="clear" w:color="auto" w:fill="FFFFFF"/>
              </w:rPr>
              <w:t>Cida</w:t>
            </w:r>
            <w:proofErr w:type="spellEnd"/>
          </w:p>
        </w:tc>
        <w:tc>
          <w:tcPr>
            <w:tcW w:w="2867" w:type="dxa"/>
          </w:tcPr>
          <w:p w14:paraId="36A389BB"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 xml:space="preserve">Jefa de Evaluación y Seguimiento </w:t>
            </w:r>
          </w:p>
        </w:tc>
        <w:tc>
          <w:tcPr>
            <w:tcW w:w="1865" w:type="dxa"/>
          </w:tcPr>
          <w:p w14:paraId="3AE7AD04"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528</w:t>
            </w:r>
          </w:p>
        </w:tc>
        <w:tc>
          <w:tcPr>
            <w:tcW w:w="1745" w:type="dxa"/>
          </w:tcPr>
          <w:p w14:paraId="64E54360"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1,329</w:t>
            </w:r>
          </w:p>
        </w:tc>
      </w:tr>
      <w:tr w:rsidR="00123E67" w:rsidRPr="00C82CF2" w14:paraId="72CC8314" w14:textId="77777777" w:rsidTr="00006DA7">
        <w:tc>
          <w:tcPr>
            <w:tcW w:w="2351" w:type="dxa"/>
          </w:tcPr>
          <w:p w14:paraId="776A99C5"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Edgar Ricardo Rodríguez Hernández</w:t>
            </w:r>
          </w:p>
        </w:tc>
        <w:tc>
          <w:tcPr>
            <w:tcW w:w="2867" w:type="dxa"/>
          </w:tcPr>
          <w:p w14:paraId="4F9A08EF"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J</w:t>
            </w:r>
            <w:r w:rsidRPr="00C82CF2">
              <w:rPr>
                <w:rFonts w:ascii="Arial" w:hAnsi="Arial" w:cs="Arial"/>
                <w:color w:val="000000"/>
                <w:sz w:val="23"/>
                <w:szCs w:val="23"/>
                <w:shd w:val="clear" w:color="auto" w:fill="FFFFFF"/>
              </w:rPr>
              <w:t>efe de Planeación e Informes</w:t>
            </w:r>
          </w:p>
        </w:tc>
        <w:tc>
          <w:tcPr>
            <w:tcW w:w="1865" w:type="dxa"/>
          </w:tcPr>
          <w:p w14:paraId="6355A817"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199</w:t>
            </w:r>
          </w:p>
        </w:tc>
        <w:tc>
          <w:tcPr>
            <w:tcW w:w="1745" w:type="dxa"/>
          </w:tcPr>
          <w:p w14:paraId="681E7071"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851</w:t>
            </w:r>
          </w:p>
        </w:tc>
      </w:tr>
      <w:tr w:rsidR="00B737A5" w:rsidRPr="00C82CF2" w14:paraId="6B242FB4" w14:textId="77777777" w:rsidTr="00006DA7">
        <w:tc>
          <w:tcPr>
            <w:tcW w:w="2351" w:type="dxa"/>
          </w:tcPr>
          <w:p w14:paraId="5B029314" w14:textId="119E3E5A" w:rsidR="00B737A5" w:rsidRPr="00C82CF2" w:rsidRDefault="007D5063" w:rsidP="00006DA7">
            <w:pPr>
              <w:autoSpaceDE w:val="0"/>
              <w:autoSpaceDN w:val="0"/>
              <w:adjustRightInd w:val="0"/>
              <w:ind w:right="425"/>
              <w:jc w:val="both"/>
              <w:rPr>
                <w:rFonts w:ascii="Arial" w:hAnsi="Arial" w:cs="Arial"/>
                <w:color w:val="000000"/>
                <w:sz w:val="23"/>
                <w:szCs w:val="23"/>
                <w:shd w:val="clear" w:color="auto" w:fill="FFFFFF"/>
              </w:rPr>
            </w:pPr>
            <w:r w:rsidRPr="00C82CF2">
              <w:rPr>
                <w:rFonts w:ascii="Arial" w:hAnsi="Arial" w:cs="Arial"/>
                <w:color w:val="000000"/>
                <w:sz w:val="23"/>
                <w:szCs w:val="23"/>
                <w:shd w:val="clear" w:color="auto" w:fill="FFFFFF"/>
              </w:rPr>
              <w:t>Sergio López Arciniega</w:t>
            </w:r>
          </w:p>
        </w:tc>
        <w:tc>
          <w:tcPr>
            <w:tcW w:w="2867" w:type="dxa"/>
          </w:tcPr>
          <w:p w14:paraId="0CD14A4C" w14:textId="7D9128C7" w:rsidR="00B737A5" w:rsidRPr="00C82CF2" w:rsidRDefault="007D5063"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Subdirector de Análisis Jurídico</w:t>
            </w:r>
          </w:p>
        </w:tc>
        <w:tc>
          <w:tcPr>
            <w:tcW w:w="1865" w:type="dxa"/>
          </w:tcPr>
          <w:p w14:paraId="541C0BE4" w14:textId="2410BB24" w:rsidR="00B737A5" w:rsidRPr="00C82CF2" w:rsidRDefault="007D5063"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891</w:t>
            </w:r>
          </w:p>
        </w:tc>
        <w:tc>
          <w:tcPr>
            <w:tcW w:w="1745" w:type="dxa"/>
          </w:tcPr>
          <w:p w14:paraId="53011234" w14:textId="47931D1E" w:rsidR="00B737A5" w:rsidRPr="00C82CF2" w:rsidRDefault="007D5063"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1002</w:t>
            </w:r>
          </w:p>
        </w:tc>
      </w:tr>
      <w:tr w:rsidR="00123E67" w:rsidRPr="00C82CF2" w14:paraId="59537BC3" w14:textId="77777777" w:rsidTr="00006DA7">
        <w:tc>
          <w:tcPr>
            <w:tcW w:w="2351" w:type="dxa"/>
          </w:tcPr>
          <w:p w14:paraId="2ACD82EA"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María José Orozco Seifert</w:t>
            </w:r>
          </w:p>
        </w:tc>
        <w:tc>
          <w:tcPr>
            <w:tcW w:w="2867" w:type="dxa"/>
          </w:tcPr>
          <w:p w14:paraId="29240D2C"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Honorarios</w:t>
            </w:r>
          </w:p>
        </w:tc>
        <w:tc>
          <w:tcPr>
            <w:tcW w:w="1865" w:type="dxa"/>
          </w:tcPr>
          <w:p w14:paraId="671A135E"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128</w:t>
            </w:r>
          </w:p>
        </w:tc>
        <w:tc>
          <w:tcPr>
            <w:tcW w:w="1745" w:type="dxa"/>
          </w:tcPr>
          <w:p w14:paraId="6E65FACD" w14:textId="77777777" w:rsidR="00123E67" w:rsidRPr="00C82CF2" w:rsidRDefault="00123E67"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421</w:t>
            </w:r>
          </w:p>
        </w:tc>
      </w:tr>
      <w:tr w:rsidR="00C82CF2" w:rsidRPr="00C82CF2" w14:paraId="4015CADD" w14:textId="77777777" w:rsidTr="004C2045">
        <w:tc>
          <w:tcPr>
            <w:tcW w:w="5218" w:type="dxa"/>
            <w:gridSpan w:val="2"/>
          </w:tcPr>
          <w:p w14:paraId="4EDB2589" w14:textId="441BC1ED"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hAnsi="Arial" w:cs="Arial"/>
                <w:color w:val="000000"/>
                <w:sz w:val="23"/>
                <w:szCs w:val="23"/>
                <w:shd w:val="clear" w:color="auto" w:fill="FFFFFF"/>
              </w:rPr>
              <w:t>Total</w:t>
            </w:r>
          </w:p>
        </w:tc>
        <w:tc>
          <w:tcPr>
            <w:tcW w:w="1865" w:type="dxa"/>
          </w:tcPr>
          <w:p w14:paraId="483BD9CD" w14:textId="4E6ABE8B"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4,945</w:t>
            </w:r>
          </w:p>
        </w:tc>
        <w:tc>
          <w:tcPr>
            <w:tcW w:w="1745" w:type="dxa"/>
          </w:tcPr>
          <w:p w14:paraId="3B1F6FEE" w14:textId="701CCB8F"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9,208</w:t>
            </w:r>
          </w:p>
        </w:tc>
      </w:tr>
      <w:tr w:rsidR="00C82CF2" w:rsidRPr="00C82CF2" w14:paraId="1A60022B" w14:textId="77777777" w:rsidTr="00753D1C">
        <w:tc>
          <w:tcPr>
            <w:tcW w:w="5218" w:type="dxa"/>
            <w:gridSpan w:val="2"/>
          </w:tcPr>
          <w:p w14:paraId="7EA16D78" w14:textId="518E647A"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Gran total</w:t>
            </w:r>
          </w:p>
        </w:tc>
        <w:tc>
          <w:tcPr>
            <w:tcW w:w="1865" w:type="dxa"/>
          </w:tcPr>
          <w:p w14:paraId="11F19134" w14:textId="77777777"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p>
        </w:tc>
        <w:tc>
          <w:tcPr>
            <w:tcW w:w="1745" w:type="dxa"/>
          </w:tcPr>
          <w:p w14:paraId="7B5C2E0F" w14:textId="1BBA30D3" w:rsidR="00C82CF2" w:rsidRPr="00C82CF2" w:rsidRDefault="00C82CF2" w:rsidP="00006DA7">
            <w:pPr>
              <w:autoSpaceDE w:val="0"/>
              <w:autoSpaceDN w:val="0"/>
              <w:adjustRightInd w:val="0"/>
              <w:ind w:right="425"/>
              <w:jc w:val="both"/>
              <w:rPr>
                <w:rFonts w:ascii="Arial" w:eastAsia="Cambria" w:hAnsi="Arial" w:cs="Arial"/>
                <w:sz w:val="23"/>
                <w:szCs w:val="23"/>
                <w:lang w:val="es-MX" w:eastAsia="es-MX"/>
              </w:rPr>
            </w:pPr>
            <w:r w:rsidRPr="00C82CF2">
              <w:rPr>
                <w:rFonts w:ascii="Arial" w:eastAsia="Cambria" w:hAnsi="Arial" w:cs="Arial"/>
                <w:sz w:val="23"/>
                <w:szCs w:val="23"/>
                <w:lang w:val="es-MX" w:eastAsia="es-MX"/>
              </w:rPr>
              <w:t>14,153</w:t>
            </w:r>
          </w:p>
        </w:tc>
      </w:tr>
    </w:tbl>
    <w:p w14:paraId="07F3EA7D" w14:textId="77777777" w:rsidR="00403DF5" w:rsidRPr="00C82CF2" w:rsidRDefault="00403DF5" w:rsidP="00820D30">
      <w:pPr>
        <w:tabs>
          <w:tab w:val="left" w:pos="180"/>
        </w:tabs>
        <w:autoSpaceDE w:val="0"/>
        <w:autoSpaceDN w:val="0"/>
        <w:adjustRightInd w:val="0"/>
        <w:spacing w:line="240" w:lineRule="atLeast"/>
        <w:jc w:val="both"/>
        <w:rPr>
          <w:rFonts w:ascii="Arial" w:eastAsia="Calibri" w:hAnsi="Arial" w:cs="Arial"/>
          <w:sz w:val="23"/>
          <w:szCs w:val="23"/>
          <w:lang w:val="es-MX" w:eastAsia="en-US"/>
        </w:rPr>
      </w:pPr>
    </w:p>
    <w:p w14:paraId="6C0A9FFF" w14:textId="77777777" w:rsidR="00123E67" w:rsidRPr="00C82CF2" w:rsidRDefault="00123E67" w:rsidP="00D84321">
      <w:pPr>
        <w:ind w:right="-39"/>
        <w:jc w:val="both"/>
        <w:rPr>
          <w:rFonts w:ascii="Arial" w:hAnsi="Arial" w:cs="Arial"/>
          <w:sz w:val="23"/>
          <w:szCs w:val="23"/>
        </w:rPr>
      </w:pPr>
    </w:p>
    <w:p w14:paraId="7E746BCC" w14:textId="30669FBB" w:rsidR="00D84321" w:rsidRPr="00C82CF2" w:rsidRDefault="00D84321" w:rsidP="00D84321">
      <w:pPr>
        <w:ind w:right="-39"/>
        <w:jc w:val="both"/>
        <w:rPr>
          <w:rFonts w:ascii="Arial" w:hAnsi="Arial" w:cs="Arial"/>
          <w:sz w:val="23"/>
          <w:szCs w:val="23"/>
        </w:rPr>
      </w:pPr>
      <w:r w:rsidRPr="00C82CF2">
        <w:rPr>
          <w:rFonts w:ascii="Arial" w:hAnsi="Arial" w:cs="Arial"/>
          <w:sz w:val="23"/>
          <w:szCs w:val="23"/>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por el enlace de transparencia de la Dirección de Políticas Públicas de la Secretaría Ejecutiva del Sistema Estatal Anticorrupción de Jalisco, informa que en los correos de la </w:t>
      </w:r>
      <w:proofErr w:type="spellStart"/>
      <w:r w:rsidRPr="00C82CF2">
        <w:rPr>
          <w:rFonts w:ascii="Arial" w:hAnsi="Arial" w:cs="Arial"/>
          <w:sz w:val="23"/>
          <w:szCs w:val="23"/>
        </w:rPr>
        <w:t>Subiderección</w:t>
      </w:r>
      <w:proofErr w:type="spellEnd"/>
      <w:r w:rsidRPr="00C82CF2">
        <w:rPr>
          <w:rFonts w:ascii="Arial" w:hAnsi="Arial" w:cs="Arial"/>
          <w:sz w:val="23"/>
          <w:szCs w:val="23"/>
        </w:rPr>
        <w:t xml:space="preserve"> de Diseño, Seguimiento y Evaluación de Políticas Públicas; Analista especializada, Jefa de Planeación e Informes y </w:t>
      </w:r>
      <w:r w:rsidR="00D728C4" w:rsidRPr="00C82CF2">
        <w:rPr>
          <w:rFonts w:ascii="Arial" w:hAnsi="Arial" w:cs="Arial"/>
          <w:sz w:val="23"/>
          <w:szCs w:val="23"/>
        </w:rPr>
        <w:t>Jefe de Seguimiento y Evaluación,</w:t>
      </w:r>
      <w:r w:rsidRPr="00C82CF2">
        <w:rPr>
          <w:rFonts w:ascii="Arial" w:hAnsi="Arial" w:cs="Arial"/>
          <w:sz w:val="23"/>
          <w:szCs w:val="23"/>
        </w:rPr>
        <w:t xml:space="preserve">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C82CF2">
        <w:rPr>
          <w:rFonts w:ascii="Arial" w:hAnsi="Arial" w:cs="Arial"/>
          <w:color w:val="000000"/>
          <w:sz w:val="23"/>
          <w:szCs w:val="23"/>
        </w:rPr>
        <w:t>dando cuenta con la siguiente relación de los datos que serán protegidos</w:t>
      </w:r>
      <w:r w:rsidRPr="00C82CF2">
        <w:rPr>
          <w:rFonts w:ascii="Arial" w:hAnsi="Arial" w:cs="Arial"/>
          <w:sz w:val="23"/>
          <w:szCs w:val="23"/>
        </w:rPr>
        <w:t>:</w:t>
      </w:r>
    </w:p>
    <w:p w14:paraId="53586180" w14:textId="77777777" w:rsidR="00D84321" w:rsidRPr="00C82CF2" w:rsidRDefault="00D84321" w:rsidP="00D84321">
      <w:pPr>
        <w:ind w:right="-39"/>
        <w:jc w:val="both"/>
        <w:rPr>
          <w:rFonts w:ascii="Arial" w:hAnsi="Arial" w:cs="Arial"/>
          <w:sz w:val="23"/>
          <w:szCs w:val="23"/>
        </w:rPr>
      </w:pPr>
    </w:p>
    <w:p w14:paraId="7914E8AE" w14:textId="77777777" w:rsidR="00403DF5" w:rsidRPr="00C82CF2" w:rsidRDefault="00403DF5" w:rsidP="00403DF5">
      <w:pPr>
        <w:rPr>
          <w:rFonts w:ascii="Arial" w:hAnsi="Arial" w:cs="Arial"/>
          <w:sz w:val="23"/>
          <w:szCs w:val="23"/>
        </w:rPr>
      </w:pPr>
    </w:p>
    <w:p w14:paraId="322F5771"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Correo electrónico particular </w:t>
      </w:r>
    </w:p>
    <w:p w14:paraId="5D3A6A2F"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teléfono particular</w:t>
      </w:r>
    </w:p>
    <w:p w14:paraId="250868A3"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RFC</w:t>
      </w:r>
    </w:p>
    <w:p w14:paraId="4EA30DB4"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Nombre de particulares </w:t>
      </w:r>
    </w:p>
    <w:p w14:paraId="6051A016"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Domicilio</w:t>
      </w:r>
    </w:p>
    <w:p w14:paraId="367742D6"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lastRenderedPageBreak/>
        <w:t xml:space="preserve">Número de medidor de la Comisión Federal de Electricidad </w:t>
      </w:r>
    </w:p>
    <w:p w14:paraId="184BD33A"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Numero de servicio de la Comisión Federal de Electricidad</w:t>
      </w:r>
    </w:p>
    <w:p w14:paraId="2FF3167D" w14:textId="77777777" w:rsidR="00403DF5" w:rsidRPr="00C82CF2" w:rsidRDefault="00403DF5" w:rsidP="00403DF5">
      <w:pPr>
        <w:pStyle w:val="Prrafodelista"/>
        <w:numPr>
          <w:ilvl w:val="0"/>
          <w:numId w:val="39"/>
        </w:numPr>
        <w:contextualSpacing/>
        <w:jc w:val="left"/>
        <w:rPr>
          <w:rFonts w:ascii="Arial" w:hAnsi="Arial" w:cs="Arial"/>
          <w:sz w:val="23"/>
          <w:szCs w:val="23"/>
        </w:rPr>
      </w:pPr>
      <w:proofErr w:type="gramStart"/>
      <w:r w:rsidRPr="00C82CF2">
        <w:rPr>
          <w:rFonts w:ascii="Arial" w:hAnsi="Arial" w:cs="Arial"/>
          <w:sz w:val="23"/>
          <w:szCs w:val="23"/>
        </w:rPr>
        <w:t>Monto a pagar</w:t>
      </w:r>
      <w:proofErr w:type="gramEnd"/>
    </w:p>
    <w:p w14:paraId="1BB278A7"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CURP</w:t>
      </w:r>
    </w:p>
    <w:p w14:paraId="28CB5DD6"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Actividad Económica </w:t>
      </w:r>
    </w:p>
    <w:p w14:paraId="1CDB92F1"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Régimen de ingresos </w:t>
      </w:r>
    </w:p>
    <w:p w14:paraId="2EA0E3DF" w14:textId="77777777" w:rsidR="00403DF5" w:rsidRPr="00C82CF2" w:rsidRDefault="00403DF5" w:rsidP="00403DF5">
      <w:pPr>
        <w:pStyle w:val="Prrafodelista"/>
        <w:numPr>
          <w:ilvl w:val="0"/>
          <w:numId w:val="39"/>
        </w:numPr>
        <w:contextualSpacing/>
        <w:jc w:val="left"/>
        <w:rPr>
          <w:rFonts w:ascii="Arial" w:hAnsi="Arial" w:cs="Arial"/>
          <w:sz w:val="23"/>
          <w:szCs w:val="23"/>
        </w:rPr>
      </w:pPr>
      <w:proofErr w:type="spellStart"/>
      <w:r w:rsidRPr="00C82CF2">
        <w:rPr>
          <w:rFonts w:ascii="Arial" w:hAnsi="Arial" w:cs="Arial"/>
          <w:sz w:val="23"/>
          <w:szCs w:val="23"/>
        </w:rPr>
        <w:t>Nip</w:t>
      </w:r>
      <w:proofErr w:type="spellEnd"/>
    </w:p>
    <w:p w14:paraId="6D529DF4"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Número de cuenta bancaria</w:t>
      </w:r>
    </w:p>
    <w:p w14:paraId="15827F79"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Usuarios y contraseñas </w:t>
      </w:r>
    </w:p>
    <w:p w14:paraId="4A60F2BD"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Fecha de nacimiento </w:t>
      </w:r>
    </w:p>
    <w:p w14:paraId="044D15D4"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Foto de particulares</w:t>
      </w:r>
    </w:p>
    <w:p w14:paraId="1C4B1F57"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Puesto desempeñado por particulares </w:t>
      </w:r>
    </w:p>
    <w:p w14:paraId="08FDFE5D" w14:textId="77777777"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 Calificaciones </w:t>
      </w:r>
    </w:p>
    <w:p w14:paraId="1313DA47" w14:textId="77777777" w:rsidR="00403DF5" w:rsidRPr="00C82CF2" w:rsidRDefault="00403DF5" w:rsidP="00403DF5">
      <w:pPr>
        <w:pStyle w:val="Prrafodelista"/>
        <w:numPr>
          <w:ilvl w:val="0"/>
          <w:numId w:val="39"/>
        </w:numPr>
        <w:contextualSpacing/>
        <w:jc w:val="left"/>
        <w:rPr>
          <w:rFonts w:ascii="Arial" w:hAnsi="Arial" w:cs="Arial"/>
          <w:sz w:val="23"/>
          <w:szCs w:val="23"/>
        </w:rPr>
      </w:pPr>
      <w:proofErr w:type="spellStart"/>
      <w:r w:rsidRPr="00C82CF2">
        <w:rPr>
          <w:rFonts w:ascii="Arial" w:hAnsi="Arial" w:cs="Arial"/>
          <w:sz w:val="23"/>
          <w:szCs w:val="23"/>
        </w:rPr>
        <w:t>Hipervinculos</w:t>
      </w:r>
      <w:proofErr w:type="spellEnd"/>
      <w:r w:rsidRPr="00C82CF2">
        <w:rPr>
          <w:rFonts w:ascii="Arial" w:hAnsi="Arial" w:cs="Arial"/>
          <w:sz w:val="23"/>
          <w:szCs w:val="23"/>
        </w:rPr>
        <w:t xml:space="preserve"> a documentos </w:t>
      </w:r>
    </w:p>
    <w:p w14:paraId="7BA99AE0" w14:textId="30426412" w:rsidR="00403DF5" w:rsidRPr="00C82CF2" w:rsidRDefault="00403DF5"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Códigos QR</w:t>
      </w:r>
    </w:p>
    <w:p w14:paraId="7E05DB94" w14:textId="177D814E" w:rsidR="00123E67" w:rsidRPr="00C82CF2" w:rsidRDefault="00123E67"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Número de cedula </w:t>
      </w:r>
    </w:p>
    <w:p w14:paraId="44D6533E" w14:textId="327A29CE" w:rsidR="00123E67" w:rsidRPr="00C82CF2" w:rsidRDefault="00123E67"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Instituciones Educativa </w:t>
      </w:r>
    </w:p>
    <w:p w14:paraId="13A29A28" w14:textId="2B269E5F" w:rsidR="00123E67" w:rsidRPr="00C82CF2" w:rsidRDefault="00123E67"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Grado académico </w:t>
      </w:r>
    </w:p>
    <w:p w14:paraId="5D34F42C" w14:textId="0C251857" w:rsidR="00123E67" w:rsidRPr="00C82CF2" w:rsidRDefault="00123E67" w:rsidP="00403DF5">
      <w:pPr>
        <w:pStyle w:val="Prrafodelista"/>
        <w:numPr>
          <w:ilvl w:val="0"/>
          <w:numId w:val="39"/>
        </w:numPr>
        <w:contextualSpacing/>
        <w:jc w:val="left"/>
        <w:rPr>
          <w:rFonts w:ascii="Arial" w:hAnsi="Arial" w:cs="Arial"/>
          <w:sz w:val="23"/>
          <w:szCs w:val="23"/>
        </w:rPr>
      </w:pPr>
      <w:r w:rsidRPr="00C82CF2">
        <w:rPr>
          <w:rFonts w:ascii="Arial" w:hAnsi="Arial" w:cs="Arial"/>
          <w:sz w:val="23"/>
          <w:szCs w:val="23"/>
        </w:rPr>
        <w:t xml:space="preserve">Nacionalidad </w:t>
      </w:r>
    </w:p>
    <w:p w14:paraId="71BE95F2" w14:textId="77777777" w:rsidR="00403DF5" w:rsidRPr="00C82CF2" w:rsidRDefault="00403DF5" w:rsidP="00403DF5">
      <w:pPr>
        <w:ind w:right="-39"/>
        <w:jc w:val="both"/>
        <w:rPr>
          <w:rFonts w:ascii="Arial" w:hAnsi="Arial" w:cs="Arial"/>
          <w:sz w:val="23"/>
          <w:szCs w:val="23"/>
        </w:rPr>
      </w:pPr>
    </w:p>
    <w:p w14:paraId="54F15B8C" w14:textId="2626F9E4" w:rsidR="00820D30" w:rsidRPr="00C82CF2" w:rsidRDefault="00820D30" w:rsidP="00820D30">
      <w:pPr>
        <w:tabs>
          <w:tab w:val="left" w:pos="180"/>
        </w:tabs>
        <w:autoSpaceDE w:val="0"/>
        <w:autoSpaceDN w:val="0"/>
        <w:adjustRightInd w:val="0"/>
        <w:spacing w:line="240" w:lineRule="atLeast"/>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Analizado lo anterior, y como se desprende de lo relacionado con antelación, toda vez</w:t>
      </w:r>
      <w:r w:rsidRPr="00C82CF2">
        <w:rPr>
          <w:rFonts w:ascii="Arial" w:eastAsia="Times New Roman" w:hAnsi="Arial" w:cs="Arial"/>
          <w:sz w:val="23"/>
          <w:szCs w:val="23"/>
          <w:lang w:val="es-ES"/>
        </w:rPr>
        <w:t xml:space="preserve"> que los documentos antes señalados,</w:t>
      </w:r>
      <w:r w:rsidRPr="00C82CF2">
        <w:rPr>
          <w:rFonts w:ascii="Arial" w:eastAsia="Calibri" w:hAnsi="Arial" w:cs="Arial"/>
          <w:color w:val="000000"/>
          <w:sz w:val="23"/>
          <w:szCs w:val="23"/>
          <w:lang w:val="es-MX" w:eastAsia="en-US"/>
        </w:rPr>
        <w:t xml:space="preserve"> contienen datos personales, catalogados como tales, por el artículo 3 fracción IX y X </w:t>
      </w:r>
      <w:r w:rsidRPr="00C82CF2">
        <w:rPr>
          <w:rFonts w:ascii="Arial" w:eastAsia="Calibri" w:hAnsi="Arial" w:cs="Arial"/>
          <w:sz w:val="23"/>
          <w:szCs w:val="23"/>
          <w:lang w:val="es-MX" w:eastAsia="en-US"/>
        </w:rPr>
        <w:t>de la Ley que rige la materia,</w:t>
      </w:r>
      <w:r w:rsidRPr="00C82CF2">
        <w:rPr>
          <w:rFonts w:ascii="Arial" w:eastAsia="Calibri" w:hAnsi="Arial" w:cs="Arial"/>
          <w:color w:val="000000"/>
          <w:sz w:val="23"/>
          <w:szCs w:val="23"/>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C82CF2">
        <w:rPr>
          <w:rFonts w:ascii="Arial" w:eastAsia="Calibri" w:hAnsi="Arial" w:cs="Arial"/>
          <w:sz w:val="23"/>
          <w:szCs w:val="23"/>
          <w:lang w:val="es-MX" w:eastAsia="en-US"/>
        </w:rPr>
        <w:t>, en su fracción I, por tratarse de datos personales identificativos</w:t>
      </w:r>
      <w:r w:rsidRPr="00C82CF2">
        <w:rPr>
          <w:rFonts w:ascii="Arial" w:eastAsia="Calibri" w:hAnsi="Arial" w:cs="Arial"/>
          <w:color w:val="000000"/>
          <w:sz w:val="23"/>
          <w:szCs w:val="23"/>
          <w:lang w:val="es-MX" w:eastAsia="en-US"/>
        </w:rPr>
        <w:t xml:space="preserve">, </w:t>
      </w:r>
      <w:r w:rsidRPr="00C82CF2">
        <w:rPr>
          <w:rFonts w:ascii="Arial" w:eastAsia="Calibri" w:hAnsi="Arial" w:cs="Arial"/>
          <w:sz w:val="23"/>
          <w:szCs w:val="23"/>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sidRPr="00C82CF2">
        <w:rPr>
          <w:rFonts w:ascii="Arial" w:eastAsia="Calibri" w:hAnsi="Arial" w:cs="Arial"/>
          <w:sz w:val="23"/>
          <w:szCs w:val="23"/>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C82CF2">
        <w:rPr>
          <w:rFonts w:ascii="Arial" w:eastAsia="Calibri" w:hAnsi="Arial" w:cs="Arial"/>
          <w:sz w:val="23"/>
          <w:szCs w:val="23"/>
          <w:lang w:val="es-MX" w:eastAsia="en-US"/>
        </w:rPr>
        <w:t>numeral 30 punto 1, de la Ley de Protección de Datos Personales en Posesión de Sujetos Obligados del Estado de Jalisco y sus Municipios.</w:t>
      </w:r>
    </w:p>
    <w:p w14:paraId="10BABA23" w14:textId="77777777" w:rsidR="00820D30" w:rsidRPr="00C82CF2" w:rsidRDefault="00820D30" w:rsidP="00820D30">
      <w:pPr>
        <w:tabs>
          <w:tab w:val="left" w:pos="180"/>
        </w:tabs>
        <w:autoSpaceDE w:val="0"/>
        <w:autoSpaceDN w:val="0"/>
        <w:adjustRightInd w:val="0"/>
        <w:spacing w:line="240" w:lineRule="atLeast"/>
        <w:jc w:val="both"/>
        <w:rPr>
          <w:rFonts w:ascii="Arial" w:eastAsia="Calibri" w:hAnsi="Arial" w:cs="Arial"/>
          <w:sz w:val="23"/>
          <w:szCs w:val="23"/>
          <w:lang w:val="es-MX" w:eastAsia="en-US"/>
        </w:rPr>
      </w:pPr>
    </w:p>
    <w:p w14:paraId="4A51ECB1" w14:textId="1D37D3FD" w:rsidR="00820D30" w:rsidRPr="00C82CF2" w:rsidRDefault="00820D30" w:rsidP="00820D30">
      <w:pPr>
        <w:spacing w:after="160" w:line="252" w:lineRule="auto"/>
        <w:ind w:right="-39"/>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Es así como después de analizar las versiones públicas de los correos</w:t>
      </w:r>
      <w:r w:rsidR="00403DF5" w:rsidRPr="00C82CF2">
        <w:rPr>
          <w:rFonts w:ascii="Arial" w:eastAsia="Calibri" w:hAnsi="Arial" w:cs="Arial"/>
          <w:sz w:val="23"/>
          <w:szCs w:val="23"/>
          <w:lang w:val="es-MX" w:eastAsia="en-US"/>
        </w:rPr>
        <w:t xml:space="preserve"> de la bandeja de entrada, bandeja de salida y archivos adjuntos</w:t>
      </w:r>
      <w:r w:rsidRPr="00C82CF2">
        <w:rPr>
          <w:rFonts w:ascii="Arial" w:eastAsia="Calibri" w:hAnsi="Arial" w:cs="Arial"/>
          <w:sz w:val="23"/>
          <w:szCs w:val="23"/>
          <w:lang w:val="es-MX" w:eastAsia="en-US"/>
        </w:rPr>
        <w:t xml:space="preserve">, se somete a votación para la aprobación de </w:t>
      </w:r>
      <w:proofErr w:type="gramStart"/>
      <w:r w:rsidRPr="00C82CF2">
        <w:rPr>
          <w:rFonts w:ascii="Arial" w:eastAsia="Calibri" w:hAnsi="Arial" w:cs="Arial"/>
          <w:sz w:val="23"/>
          <w:szCs w:val="23"/>
          <w:lang w:val="es-MX" w:eastAsia="en-US"/>
        </w:rPr>
        <w:t>las mismas</w:t>
      </w:r>
      <w:proofErr w:type="gramEnd"/>
      <w:r w:rsidRPr="00C82CF2">
        <w:rPr>
          <w:rFonts w:ascii="Arial" w:eastAsia="Calibri" w:hAnsi="Arial" w:cs="Arial"/>
          <w:sz w:val="23"/>
          <w:szCs w:val="23"/>
          <w:lang w:val="es-MX" w:eastAsia="en-US"/>
        </w:rPr>
        <w:t>, la cual</w:t>
      </w:r>
      <w:r w:rsidR="00403DF5" w:rsidRPr="00C82CF2">
        <w:rPr>
          <w:rFonts w:ascii="Arial" w:eastAsia="Calibri" w:hAnsi="Arial" w:cs="Arial"/>
          <w:sz w:val="23"/>
          <w:szCs w:val="23"/>
          <w:lang w:val="es-MX" w:eastAsia="en-US"/>
        </w:rPr>
        <w:t xml:space="preserve"> fue aprobada por mayoría de votos</w:t>
      </w:r>
      <w:r w:rsidRPr="00C82CF2">
        <w:rPr>
          <w:rFonts w:ascii="Arial" w:eastAsia="Calibri" w:hAnsi="Arial" w:cs="Arial"/>
          <w:sz w:val="23"/>
          <w:szCs w:val="23"/>
          <w:lang w:val="es-MX" w:eastAsia="en-US"/>
        </w:rPr>
        <w:t xml:space="preserve">. </w:t>
      </w:r>
    </w:p>
    <w:p w14:paraId="471E9A18" w14:textId="77777777" w:rsidR="00A708A1" w:rsidRPr="00C82CF2" w:rsidRDefault="00A708A1" w:rsidP="00A708A1">
      <w:pPr>
        <w:spacing w:after="160" w:line="252" w:lineRule="auto"/>
        <w:ind w:right="-39"/>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Y en base a lo anteriormente expuesto, se acuerda lo siguiente:</w:t>
      </w:r>
    </w:p>
    <w:p w14:paraId="05944AD6" w14:textId="1D9AFF23" w:rsidR="008F62D8" w:rsidRPr="00C82CF2" w:rsidRDefault="008F62D8" w:rsidP="008F62D8">
      <w:pPr>
        <w:spacing w:after="160" w:line="254" w:lineRule="auto"/>
        <w:ind w:left="426" w:right="1134" w:firstLine="708"/>
        <w:jc w:val="both"/>
        <w:rPr>
          <w:rFonts w:ascii="Arial" w:eastAsia="Calibri" w:hAnsi="Arial" w:cs="Arial"/>
          <w:b/>
          <w:i/>
          <w:caps/>
          <w:sz w:val="23"/>
          <w:szCs w:val="23"/>
          <w:u w:val="single"/>
          <w:lang w:val="es-MX" w:eastAsia="en-US"/>
        </w:rPr>
      </w:pPr>
      <w:r w:rsidRPr="00C82CF2">
        <w:rPr>
          <w:rFonts w:ascii="Arial" w:eastAsia="Calibri" w:hAnsi="Arial" w:cs="Arial"/>
          <w:b/>
          <w:i/>
          <w:sz w:val="23"/>
          <w:szCs w:val="23"/>
          <w:u w:val="single"/>
          <w:lang w:val="es-MX" w:eastAsia="en-US"/>
        </w:rPr>
        <w:lastRenderedPageBreak/>
        <w:t>ACU/SESEAJ/CT/</w:t>
      </w:r>
      <w:r w:rsidR="000B098F" w:rsidRPr="00C82CF2">
        <w:rPr>
          <w:rFonts w:ascii="Arial" w:eastAsia="Calibri" w:hAnsi="Arial" w:cs="Arial"/>
          <w:b/>
          <w:i/>
          <w:sz w:val="23"/>
          <w:szCs w:val="23"/>
          <w:u w:val="single"/>
          <w:lang w:val="es-MX" w:eastAsia="en-US"/>
        </w:rPr>
        <w:t>1</w:t>
      </w:r>
      <w:r w:rsidR="00A37C43" w:rsidRPr="00C82CF2">
        <w:rPr>
          <w:rFonts w:ascii="Arial" w:eastAsia="Calibri" w:hAnsi="Arial" w:cs="Arial"/>
          <w:b/>
          <w:i/>
          <w:sz w:val="23"/>
          <w:szCs w:val="23"/>
          <w:u w:val="single"/>
          <w:lang w:val="es-MX" w:eastAsia="en-US"/>
        </w:rPr>
        <w:t>6</w:t>
      </w:r>
      <w:r w:rsidRPr="00C82CF2">
        <w:rPr>
          <w:rFonts w:ascii="Arial" w:eastAsia="Calibri" w:hAnsi="Arial" w:cs="Arial"/>
          <w:b/>
          <w:i/>
          <w:sz w:val="23"/>
          <w:szCs w:val="23"/>
          <w:u w:val="single"/>
          <w:lang w:val="es-MX" w:eastAsia="en-US"/>
        </w:rPr>
        <w:t>/202</w:t>
      </w:r>
      <w:r w:rsidR="003A0C1C" w:rsidRPr="00C82CF2">
        <w:rPr>
          <w:rFonts w:ascii="Arial" w:eastAsia="Calibri" w:hAnsi="Arial" w:cs="Arial"/>
          <w:b/>
          <w:i/>
          <w:sz w:val="23"/>
          <w:szCs w:val="23"/>
          <w:u w:val="single"/>
          <w:lang w:val="es-MX" w:eastAsia="en-US"/>
        </w:rPr>
        <w:t>2</w:t>
      </w:r>
    </w:p>
    <w:p w14:paraId="638A3770" w14:textId="3E86988C" w:rsidR="00D04DE0" w:rsidRPr="00C82CF2" w:rsidRDefault="00D728C4" w:rsidP="007E1291">
      <w:pPr>
        <w:spacing w:after="160" w:line="252" w:lineRule="auto"/>
        <w:ind w:left="567" w:right="1134"/>
        <w:jc w:val="both"/>
        <w:rPr>
          <w:rFonts w:ascii="Arial" w:eastAsia="Calibri" w:hAnsi="Arial" w:cs="Arial"/>
          <w:i/>
          <w:sz w:val="23"/>
          <w:szCs w:val="23"/>
          <w:lang w:val="es-MX" w:eastAsia="en-US"/>
        </w:rPr>
      </w:pPr>
      <w:r w:rsidRPr="00C82CF2">
        <w:rPr>
          <w:rFonts w:ascii="Arial" w:eastAsia="Calibri" w:hAnsi="Arial" w:cs="Arial"/>
          <w:i/>
          <w:sz w:val="23"/>
          <w:szCs w:val="23"/>
          <w:lang w:val="es-MX" w:eastAsia="en-US"/>
        </w:rPr>
        <w:t xml:space="preserve">“Se aprueba la versión pública de los correos recibidos, enviados y los documentos adjuntos, en las cuentas oficiales de la Dirección de políticas Públicas, lo anterior para dar contestación a la Solicitud de información con número de folio </w:t>
      </w:r>
      <w:r w:rsidRPr="00C82CF2">
        <w:rPr>
          <w:rFonts w:ascii="Arial" w:hAnsi="Arial" w:cs="Arial"/>
          <w:sz w:val="23"/>
          <w:szCs w:val="23"/>
        </w:rPr>
        <w:t xml:space="preserve">141989722000132, a la que se le asignara número de expediente interno </w:t>
      </w:r>
      <w:r w:rsidRPr="00C82CF2">
        <w:rPr>
          <w:rFonts w:ascii="Arial" w:eastAsia="Calibri" w:hAnsi="Arial" w:cs="Arial"/>
          <w:sz w:val="23"/>
          <w:szCs w:val="23"/>
          <w:lang w:val="es-MX" w:eastAsia="en-US"/>
        </w:rPr>
        <w:t>SESAJ/UT/187/2022”</w:t>
      </w:r>
      <w:r w:rsidRPr="00C82CF2">
        <w:rPr>
          <w:rFonts w:ascii="Arial" w:eastAsia="Calibri" w:hAnsi="Arial" w:cs="Arial"/>
          <w:i/>
          <w:sz w:val="23"/>
          <w:szCs w:val="23"/>
          <w:lang w:val="es-MX" w:eastAsia="en-US"/>
        </w:rPr>
        <w:t xml:space="preserve"> </w:t>
      </w:r>
    </w:p>
    <w:p w14:paraId="2A810422" w14:textId="77777777" w:rsidR="00D728C4" w:rsidRPr="00C82CF2" w:rsidRDefault="00D728C4" w:rsidP="007E1291">
      <w:pPr>
        <w:spacing w:after="160" w:line="252" w:lineRule="auto"/>
        <w:ind w:left="567" w:right="1134"/>
        <w:jc w:val="both"/>
        <w:rPr>
          <w:rFonts w:ascii="Arial" w:hAnsi="Arial" w:cs="Arial"/>
          <w:i/>
          <w:sz w:val="23"/>
          <w:szCs w:val="23"/>
        </w:rPr>
      </w:pPr>
    </w:p>
    <w:p w14:paraId="2B3CA5F0" w14:textId="33AEB964" w:rsidR="003931DE" w:rsidRPr="00C82CF2" w:rsidRDefault="003931DE" w:rsidP="003931DE">
      <w:pPr>
        <w:spacing w:after="160" w:line="256" w:lineRule="auto"/>
        <w:jc w:val="both"/>
        <w:rPr>
          <w:rFonts w:ascii="Arial" w:eastAsia="Calibri" w:hAnsi="Arial" w:cs="Arial"/>
          <w:sz w:val="23"/>
          <w:szCs w:val="23"/>
          <w:lang w:val="es-MX" w:eastAsia="en-US"/>
        </w:rPr>
      </w:pPr>
      <w:proofErr w:type="gramStart"/>
      <w:r w:rsidRPr="00C82CF2">
        <w:rPr>
          <w:rFonts w:ascii="Arial" w:eastAsia="Calibri" w:hAnsi="Arial" w:cs="Arial"/>
          <w:sz w:val="23"/>
          <w:szCs w:val="23"/>
          <w:lang w:val="es-MX" w:eastAsia="en-US"/>
        </w:rPr>
        <w:t>En razón de</w:t>
      </w:r>
      <w:proofErr w:type="gramEnd"/>
      <w:r w:rsidRPr="00C82CF2">
        <w:rPr>
          <w:rFonts w:ascii="Arial" w:eastAsia="Calibri" w:hAnsi="Arial" w:cs="Arial"/>
          <w:sz w:val="23"/>
          <w:szCs w:val="23"/>
          <w:lang w:val="es-MX" w:eastAsia="en-US"/>
        </w:rPr>
        <w:t xml:space="preserve"> haber sido desahogado el orden del día en s</w:t>
      </w:r>
      <w:r w:rsidR="00C3587F" w:rsidRPr="00C82CF2">
        <w:rPr>
          <w:rFonts w:ascii="Arial" w:eastAsia="Calibri" w:hAnsi="Arial" w:cs="Arial"/>
          <w:sz w:val="23"/>
          <w:szCs w:val="23"/>
          <w:lang w:val="es-MX" w:eastAsia="en-US"/>
        </w:rPr>
        <w:t>u</w:t>
      </w:r>
      <w:r w:rsidRPr="00C82CF2">
        <w:rPr>
          <w:rFonts w:ascii="Arial" w:eastAsia="Calibri" w:hAnsi="Arial" w:cs="Arial"/>
          <w:sz w:val="23"/>
          <w:szCs w:val="23"/>
          <w:lang w:val="es-MX" w:eastAsia="en-US"/>
        </w:rPr>
        <w:t xml:space="preserve"> punto, se declara clausurada la presente sesión, siendo las </w:t>
      </w:r>
      <w:r w:rsidRPr="00C82CF2">
        <w:rPr>
          <w:rFonts w:ascii="Arial" w:eastAsia="Calibri" w:hAnsi="Arial" w:cs="Arial"/>
          <w:sz w:val="23"/>
          <w:szCs w:val="23"/>
          <w:shd w:val="clear" w:color="auto" w:fill="FFFFFF" w:themeFill="background1"/>
          <w:lang w:val="es-MX" w:eastAsia="en-US"/>
        </w:rPr>
        <w:t>1</w:t>
      </w:r>
      <w:r w:rsidR="00D728C4" w:rsidRPr="00C82CF2">
        <w:rPr>
          <w:rFonts w:ascii="Arial" w:eastAsia="Calibri" w:hAnsi="Arial" w:cs="Arial"/>
          <w:sz w:val="23"/>
          <w:szCs w:val="23"/>
          <w:shd w:val="clear" w:color="auto" w:fill="FFFFFF" w:themeFill="background1"/>
          <w:lang w:val="es-MX" w:eastAsia="en-US"/>
        </w:rPr>
        <w:t>6</w:t>
      </w:r>
      <w:r w:rsidR="001F669D" w:rsidRPr="00C82CF2">
        <w:rPr>
          <w:rFonts w:ascii="Arial" w:eastAsia="Calibri" w:hAnsi="Arial" w:cs="Arial"/>
          <w:sz w:val="23"/>
          <w:szCs w:val="23"/>
          <w:shd w:val="clear" w:color="auto" w:fill="FFFFFF" w:themeFill="background1"/>
          <w:lang w:val="es-MX" w:eastAsia="en-US"/>
        </w:rPr>
        <w:t>:</w:t>
      </w:r>
      <w:r w:rsidR="00C82CF2" w:rsidRPr="00C82CF2">
        <w:rPr>
          <w:rFonts w:ascii="Arial" w:eastAsia="Calibri" w:hAnsi="Arial" w:cs="Arial"/>
          <w:sz w:val="23"/>
          <w:szCs w:val="23"/>
          <w:shd w:val="clear" w:color="auto" w:fill="FFFFFF" w:themeFill="background1"/>
          <w:lang w:val="es-MX" w:eastAsia="en-US"/>
        </w:rPr>
        <w:t>2</w:t>
      </w:r>
      <w:r w:rsidR="00D728C4" w:rsidRPr="00C82CF2">
        <w:rPr>
          <w:rFonts w:ascii="Arial" w:eastAsia="Calibri" w:hAnsi="Arial" w:cs="Arial"/>
          <w:sz w:val="23"/>
          <w:szCs w:val="23"/>
          <w:shd w:val="clear" w:color="auto" w:fill="FFFFFF" w:themeFill="background1"/>
          <w:lang w:val="es-MX" w:eastAsia="en-US"/>
        </w:rPr>
        <w:t>0</w:t>
      </w:r>
      <w:r w:rsidRPr="00C82CF2">
        <w:rPr>
          <w:rFonts w:ascii="Arial" w:eastAsia="Calibri" w:hAnsi="Arial" w:cs="Arial"/>
          <w:sz w:val="23"/>
          <w:szCs w:val="23"/>
          <w:shd w:val="clear" w:color="auto" w:fill="FFFFFF" w:themeFill="background1"/>
          <w:lang w:val="es-MX" w:eastAsia="en-US"/>
        </w:rPr>
        <w:t xml:space="preserve"> </w:t>
      </w:r>
      <w:r w:rsidR="00D728C4" w:rsidRPr="00C82CF2">
        <w:rPr>
          <w:rFonts w:ascii="Arial" w:eastAsia="Calibri" w:hAnsi="Arial" w:cs="Arial"/>
          <w:sz w:val="23"/>
          <w:szCs w:val="23"/>
          <w:shd w:val="clear" w:color="auto" w:fill="FFFFFF" w:themeFill="background1"/>
          <w:lang w:val="es-MX" w:eastAsia="en-US"/>
        </w:rPr>
        <w:t>dieciséis</w:t>
      </w:r>
      <w:r w:rsidRPr="00C82CF2">
        <w:rPr>
          <w:rFonts w:ascii="Arial" w:eastAsia="Calibri" w:hAnsi="Arial" w:cs="Arial"/>
          <w:sz w:val="23"/>
          <w:szCs w:val="23"/>
          <w:shd w:val="clear" w:color="auto" w:fill="FFFFFF" w:themeFill="background1"/>
          <w:lang w:val="es-MX" w:eastAsia="en-US"/>
        </w:rPr>
        <w:t xml:space="preserve"> horas con</w:t>
      </w:r>
      <w:r w:rsidRPr="00C82CF2">
        <w:rPr>
          <w:rFonts w:ascii="Arial" w:eastAsia="Calibri" w:hAnsi="Arial" w:cs="Arial"/>
          <w:sz w:val="23"/>
          <w:szCs w:val="23"/>
          <w:lang w:val="es-MX" w:eastAsia="en-US"/>
        </w:rPr>
        <w:t xml:space="preserve"> </w:t>
      </w:r>
      <w:r w:rsidR="00C82CF2" w:rsidRPr="00C82CF2">
        <w:rPr>
          <w:rFonts w:ascii="Arial" w:eastAsia="Calibri" w:hAnsi="Arial" w:cs="Arial"/>
          <w:sz w:val="23"/>
          <w:szCs w:val="23"/>
          <w:lang w:val="es-MX" w:eastAsia="en-US"/>
        </w:rPr>
        <w:t>veinte</w:t>
      </w:r>
      <w:r w:rsidRPr="00C82CF2">
        <w:rPr>
          <w:rFonts w:ascii="Arial" w:eastAsia="Calibri" w:hAnsi="Arial" w:cs="Arial"/>
          <w:sz w:val="23"/>
          <w:szCs w:val="23"/>
          <w:lang w:val="es-MX" w:eastAsia="en-US"/>
        </w:rPr>
        <w:t xml:space="preserve"> minutos del día de su inicio, firmando los que en ella intervinieron, quisieron y pudieron hacerlo.</w:t>
      </w:r>
    </w:p>
    <w:p w14:paraId="32ADCE90" w14:textId="50DA3F21" w:rsidR="00C3587F" w:rsidRPr="00C82CF2" w:rsidRDefault="00C3587F" w:rsidP="003931DE">
      <w:pPr>
        <w:spacing w:after="160" w:line="256" w:lineRule="auto"/>
        <w:jc w:val="both"/>
        <w:rPr>
          <w:rFonts w:ascii="Arial" w:eastAsia="Calibri" w:hAnsi="Arial" w:cs="Arial"/>
          <w:sz w:val="23"/>
          <w:szCs w:val="23"/>
          <w:lang w:val="es-MX" w:eastAsia="en-US"/>
        </w:rPr>
      </w:pPr>
    </w:p>
    <w:p w14:paraId="5FB4C681" w14:textId="353023D2" w:rsidR="00C3587F" w:rsidRPr="00C82CF2" w:rsidRDefault="00C3587F" w:rsidP="003931DE">
      <w:pPr>
        <w:spacing w:after="160" w:line="256" w:lineRule="auto"/>
        <w:jc w:val="both"/>
        <w:rPr>
          <w:rFonts w:ascii="Arial" w:eastAsia="Calibri" w:hAnsi="Arial" w:cs="Arial"/>
          <w:sz w:val="23"/>
          <w:szCs w:val="23"/>
          <w:lang w:val="es-MX" w:eastAsia="en-US"/>
        </w:rPr>
      </w:pPr>
    </w:p>
    <w:p w14:paraId="6424A534" w14:textId="77777777" w:rsidR="005A37CB" w:rsidRPr="00C82CF2" w:rsidRDefault="005A37CB" w:rsidP="005A37CB">
      <w:pPr>
        <w:jc w:val="both"/>
        <w:rPr>
          <w:rFonts w:ascii="Arial" w:eastAsia="Calibri" w:hAnsi="Arial" w:cs="Arial"/>
          <w:sz w:val="23"/>
          <w:szCs w:val="23"/>
          <w:lang w:val="es-MX" w:eastAsia="en-US"/>
        </w:rPr>
      </w:pPr>
    </w:p>
    <w:p w14:paraId="6CE2AE74" w14:textId="77777777" w:rsidR="005A37CB" w:rsidRPr="00C82CF2" w:rsidRDefault="005A37CB" w:rsidP="00404C40">
      <w:pPr>
        <w:jc w:val="center"/>
        <w:rPr>
          <w:rFonts w:ascii="Arial" w:eastAsia="Calibri" w:hAnsi="Arial" w:cs="Arial"/>
          <w:sz w:val="23"/>
          <w:szCs w:val="23"/>
          <w:lang w:val="es-MX" w:eastAsia="en-US"/>
        </w:rPr>
      </w:pPr>
    </w:p>
    <w:p w14:paraId="4F4B8DED" w14:textId="77777777" w:rsidR="005A37CB" w:rsidRPr="00C82CF2" w:rsidRDefault="005A37CB"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____________________________________</w:t>
      </w:r>
    </w:p>
    <w:p w14:paraId="2090AB9E" w14:textId="77777777" w:rsidR="005A37CB" w:rsidRPr="00C82CF2" w:rsidRDefault="005A37CB" w:rsidP="00404C40">
      <w:pPr>
        <w:jc w:val="center"/>
        <w:rPr>
          <w:rFonts w:ascii="Arial" w:eastAsia="Calibri" w:hAnsi="Arial" w:cs="Arial"/>
          <w:b/>
          <w:sz w:val="23"/>
          <w:szCs w:val="23"/>
          <w:lang w:val="es-MX" w:eastAsia="en-US"/>
        </w:rPr>
      </w:pPr>
      <w:r w:rsidRPr="00C82CF2">
        <w:rPr>
          <w:rFonts w:ascii="Arial" w:eastAsia="Calibri" w:hAnsi="Arial" w:cs="Arial"/>
          <w:b/>
          <w:sz w:val="23"/>
          <w:szCs w:val="23"/>
          <w:lang w:val="es-MX" w:eastAsia="en-US"/>
        </w:rPr>
        <w:t xml:space="preserve">Dra. </w:t>
      </w:r>
      <w:bookmarkStart w:id="7" w:name="_Hlk113538110"/>
      <w:proofErr w:type="spellStart"/>
      <w:r w:rsidRPr="00C82CF2">
        <w:rPr>
          <w:rFonts w:ascii="Arial" w:eastAsia="Calibri" w:hAnsi="Arial" w:cs="Arial"/>
          <w:b/>
          <w:sz w:val="23"/>
          <w:szCs w:val="23"/>
          <w:lang w:val="es-MX" w:eastAsia="en-US"/>
        </w:rPr>
        <w:t>Haimé</w:t>
      </w:r>
      <w:proofErr w:type="spellEnd"/>
      <w:r w:rsidRPr="00C82CF2">
        <w:rPr>
          <w:rFonts w:ascii="Arial" w:eastAsia="Calibri" w:hAnsi="Arial" w:cs="Arial"/>
          <w:b/>
          <w:sz w:val="23"/>
          <w:szCs w:val="23"/>
          <w:lang w:val="es-MX" w:eastAsia="en-US"/>
        </w:rPr>
        <w:t xml:space="preserve"> Figueroa Neri</w:t>
      </w:r>
    </w:p>
    <w:bookmarkEnd w:id="7"/>
    <w:p w14:paraId="1EDA4A4A" w14:textId="77777777" w:rsidR="00404C40" w:rsidRPr="00C82CF2" w:rsidRDefault="00404C40"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 xml:space="preserve">Secretaria Técnica y </w:t>
      </w:r>
      <w:proofErr w:type="gramStart"/>
      <w:r w:rsidR="005A37CB" w:rsidRPr="00C82CF2">
        <w:rPr>
          <w:rFonts w:ascii="Arial" w:eastAsia="Calibri" w:hAnsi="Arial" w:cs="Arial"/>
          <w:sz w:val="23"/>
          <w:szCs w:val="23"/>
          <w:lang w:val="es-MX" w:eastAsia="en-US"/>
        </w:rPr>
        <w:t>Presidenta</w:t>
      </w:r>
      <w:proofErr w:type="gramEnd"/>
      <w:r w:rsidR="005A37CB" w:rsidRPr="00C82CF2">
        <w:rPr>
          <w:rFonts w:ascii="Arial" w:eastAsia="Calibri" w:hAnsi="Arial" w:cs="Arial"/>
          <w:sz w:val="23"/>
          <w:szCs w:val="23"/>
          <w:lang w:val="es-MX" w:eastAsia="en-US"/>
        </w:rPr>
        <w:t xml:space="preserve"> del Comité de </w:t>
      </w:r>
    </w:p>
    <w:p w14:paraId="516140BC" w14:textId="77777777" w:rsidR="00404C40" w:rsidRPr="00C82CF2" w:rsidRDefault="005A37CB"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Transparencia</w:t>
      </w:r>
      <w:r w:rsidR="00404C40"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 xml:space="preserve">de la Secretaría Ejecutiva del </w:t>
      </w:r>
    </w:p>
    <w:p w14:paraId="25022641" w14:textId="0075CA08" w:rsidR="005A37CB" w:rsidRPr="00C82CF2" w:rsidRDefault="005A37CB"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Sistema Estatal</w:t>
      </w:r>
      <w:r w:rsidR="00404C40"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Anticorrupción de Jalisco.</w:t>
      </w:r>
    </w:p>
    <w:p w14:paraId="35EBF190" w14:textId="77777777" w:rsidR="005A37CB" w:rsidRPr="00C82CF2" w:rsidRDefault="005A37CB" w:rsidP="00404C40">
      <w:pPr>
        <w:spacing w:line="256" w:lineRule="auto"/>
        <w:jc w:val="center"/>
        <w:rPr>
          <w:rFonts w:ascii="Arial" w:eastAsia="Calibri" w:hAnsi="Arial" w:cs="Arial"/>
          <w:sz w:val="23"/>
          <w:szCs w:val="23"/>
          <w:lang w:val="es-MX" w:eastAsia="en-US"/>
        </w:rPr>
      </w:pPr>
    </w:p>
    <w:p w14:paraId="379EFB27" w14:textId="77777777" w:rsidR="005A37CB" w:rsidRPr="00C82CF2" w:rsidRDefault="005A37CB" w:rsidP="00404C40">
      <w:pPr>
        <w:spacing w:line="256" w:lineRule="auto"/>
        <w:jc w:val="center"/>
        <w:rPr>
          <w:rFonts w:ascii="Arial" w:eastAsia="Calibri" w:hAnsi="Arial" w:cs="Arial"/>
          <w:sz w:val="23"/>
          <w:szCs w:val="23"/>
          <w:lang w:val="es-MX" w:eastAsia="en-US"/>
        </w:rPr>
      </w:pPr>
    </w:p>
    <w:p w14:paraId="6915D8D6" w14:textId="29E43A76" w:rsidR="005A37CB" w:rsidRPr="00C82CF2" w:rsidRDefault="005A37CB" w:rsidP="00404C40">
      <w:pPr>
        <w:spacing w:line="256" w:lineRule="auto"/>
        <w:jc w:val="center"/>
        <w:rPr>
          <w:rFonts w:ascii="Arial" w:eastAsia="Calibri" w:hAnsi="Arial" w:cs="Arial"/>
          <w:sz w:val="23"/>
          <w:szCs w:val="23"/>
          <w:lang w:val="es-MX" w:eastAsia="en-US"/>
        </w:rPr>
      </w:pPr>
    </w:p>
    <w:p w14:paraId="33A37CBC" w14:textId="21F51729" w:rsidR="00404C40" w:rsidRPr="00C82CF2" w:rsidRDefault="00404C40" w:rsidP="00404C40">
      <w:pPr>
        <w:spacing w:line="256" w:lineRule="auto"/>
        <w:jc w:val="center"/>
        <w:rPr>
          <w:rFonts w:ascii="Arial" w:eastAsia="Calibri" w:hAnsi="Arial" w:cs="Arial"/>
          <w:sz w:val="23"/>
          <w:szCs w:val="23"/>
          <w:lang w:val="es-MX" w:eastAsia="en-US"/>
        </w:rPr>
      </w:pPr>
    </w:p>
    <w:p w14:paraId="528631B9" w14:textId="012E5808" w:rsidR="00404C40" w:rsidRPr="00C82CF2" w:rsidRDefault="00404C40" w:rsidP="00404C40">
      <w:pPr>
        <w:spacing w:line="256" w:lineRule="auto"/>
        <w:jc w:val="center"/>
        <w:rPr>
          <w:rFonts w:ascii="Arial" w:eastAsia="Calibri" w:hAnsi="Arial" w:cs="Arial"/>
          <w:sz w:val="23"/>
          <w:szCs w:val="23"/>
          <w:lang w:val="es-MX" w:eastAsia="en-US"/>
        </w:rPr>
      </w:pPr>
    </w:p>
    <w:p w14:paraId="69F3EBDE" w14:textId="4DAC8FFF" w:rsidR="00404C40" w:rsidRPr="00C82CF2" w:rsidRDefault="00404C40" w:rsidP="00404C40">
      <w:pPr>
        <w:spacing w:line="256" w:lineRule="auto"/>
        <w:jc w:val="center"/>
        <w:rPr>
          <w:rFonts w:ascii="Arial" w:eastAsia="Calibri" w:hAnsi="Arial" w:cs="Arial"/>
          <w:sz w:val="23"/>
          <w:szCs w:val="23"/>
          <w:lang w:val="es-MX" w:eastAsia="en-US"/>
        </w:rPr>
      </w:pPr>
    </w:p>
    <w:p w14:paraId="23D3543A" w14:textId="77777777" w:rsidR="00404C40" w:rsidRPr="00C82CF2" w:rsidRDefault="00404C40"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____________________________________</w:t>
      </w:r>
    </w:p>
    <w:p w14:paraId="7D530278" w14:textId="6CEA3D62" w:rsidR="00404C40" w:rsidRPr="00C82CF2" w:rsidRDefault="00404C40" w:rsidP="00404C40">
      <w:pPr>
        <w:jc w:val="center"/>
        <w:rPr>
          <w:rFonts w:ascii="Arial" w:eastAsia="Calibri" w:hAnsi="Arial" w:cs="Arial"/>
          <w:b/>
          <w:sz w:val="23"/>
          <w:szCs w:val="23"/>
          <w:lang w:val="es-MX" w:eastAsia="en-US"/>
        </w:rPr>
      </w:pPr>
      <w:r w:rsidRPr="00C82CF2">
        <w:rPr>
          <w:rFonts w:ascii="Arial" w:eastAsia="Calibri" w:hAnsi="Arial" w:cs="Arial"/>
          <w:b/>
          <w:sz w:val="23"/>
          <w:szCs w:val="23"/>
          <w:lang w:val="es-MX" w:eastAsia="en-US"/>
        </w:rPr>
        <w:t>Lic. Miguel Navarro Flores</w:t>
      </w:r>
    </w:p>
    <w:p w14:paraId="5A4D7786" w14:textId="77777777" w:rsidR="00B03635" w:rsidRPr="00C82CF2" w:rsidRDefault="00B03635"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Titular de la Unidad de Transparencia y secretario</w:t>
      </w:r>
      <w:r w:rsidR="00404C40" w:rsidRPr="00C82CF2">
        <w:rPr>
          <w:rFonts w:ascii="Arial" w:eastAsia="Calibri" w:hAnsi="Arial" w:cs="Arial"/>
          <w:sz w:val="23"/>
          <w:szCs w:val="23"/>
          <w:lang w:val="es-MX" w:eastAsia="en-US"/>
        </w:rPr>
        <w:t xml:space="preserve"> del </w:t>
      </w:r>
    </w:p>
    <w:p w14:paraId="6BD8E3E6" w14:textId="77777777" w:rsidR="00B03635" w:rsidRPr="00C82CF2" w:rsidRDefault="00404C40" w:rsidP="00404C40">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Comité de Transparencia</w:t>
      </w:r>
      <w:r w:rsidR="00B03635"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 xml:space="preserve">de la Secretaría Ejecutiva </w:t>
      </w:r>
    </w:p>
    <w:p w14:paraId="238E13B0" w14:textId="01D91BBA" w:rsidR="00500748" w:rsidRPr="00C82CF2" w:rsidRDefault="00404C40" w:rsidP="00DC4DC4">
      <w:pPr>
        <w:jc w:val="center"/>
        <w:rPr>
          <w:rFonts w:ascii="Arial" w:eastAsia="Calibri" w:hAnsi="Arial" w:cs="Arial"/>
          <w:sz w:val="23"/>
          <w:szCs w:val="23"/>
          <w:lang w:val="es-MX" w:eastAsia="en-US"/>
        </w:rPr>
      </w:pPr>
      <w:r w:rsidRPr="00C82CF2">
        <w:rPr>
          <w:rFonts w:ascii="Arial" w:eastAsia="Calibri" w:hAnsi="Arial" w:cs="Arial"/>
          <w:sz w:val="23"/>
          <w:szCs w:val="23"/>
          <w:lang w:val="es-MX" w:eastAsia="en-US"/>
        </w:rPr>
        <w:t>del Sistema Estatal</w:t>
      </w:r>
      <w:r w:rsidR="00B03635" w:rsidRPr="00C82CF2">
        <w:rPr>
          <w:rFonts w:ascii="Arial" w:eastAsia="Calibri" w:hAnsi="Arial" w:cs="Arial"/>
          <w:sz w:val="23"/>
          <w:szCs w:val="23"/>
          <w:lang w:val="es-MX" w:eastAsia="en-US"/>
        </w:rPr>
        <w:t xml:space="preserve"> </w:t>
      </w:r>
      <w:r w:rsidRPr="00C82CF2">
        <w:rPr>
          <w:rFonts w:ascii="Arial" w:eastAsia="Calibri" w:hAnsi="Arial" w:cs="Arial"/>
          <w:sz w:val="23"/>
          <w:szCs w:val="23"/>
          <w:lang w:val="es-MX" w:eastAsia="en-US"/>
        </w:rPr>
        <w:t>Anticorrupción de Jalisco.</w:t>
      </w:r>
    </w:p>
    <w:p w14:paraId="2D8DAA76" w14:textId="7F37D62D" w:rsidR="003931DE" w:rsidRDefault="003931DE" w:rsidP="005A37CB">
      <w:pPr>
        <w:spacing w:after="160"/>
        <w:jc w:val="both"/>
        <w:rPr>
          <w:rFonts w:ascii="Arial" w:eastAsia="Calibri" w:hAnsi="Arial" w:cs="Arial"/>
          <w:sz w:val="23"/>
          <w:szCs w:val="23"/>
          <w:lang w:val="es-MX" w:eastAsia="en-US"/>
        </w:rPr>
      </w:pPr>
    </w:p>
    <w:p w14:paraId="1C20695F" w14:textId="77777777" w:rsidR="00C82CF2" w:rsidRPr="00C82CF2" w:rsidRDefault="00C82CF2" w:rsidP="005A37CB">
      <w:pPr>
        <w:spacing w:after="160"/>
        <w:jc w:val="both"/>
        <w:rPr>
          <w:rFonts w:ascii="Arial" w:eastAsia="Calibri" w:hAnsi="Arial" w:cs="Arial"/>
          <w:sz w:val="23"/>
          <w:szCs w:val="23"/>
          <w:lang w:val="es-MX" w:eastAsia="en-US"/>
        </w:rPr>
      </w:pPr>
    </w:p>
    <w:p w14:paraId="2718FEC6" w14:textId="04F2C4BB" w:rsidR="00C82CF2" w:rsidRPr="00C82CF2" w:rsidRDefault="00C82CF2" w:rsidP="005A37CB">
      <w:pPr>
        <w:spacing w:after="160"/>
        <w:jc w:val="both"/>
        <w:rPr>
          <w:rFonts w:ascii="Arial" w:eastAsia="Calibri" w:hAnsi="Arial" w:cs="Arial"/>
          <w:sz w:val="23"/>
          <w:szCs w:val="23"/>
          <w:lang w:val="es-MX" w:eastAsia="en-US"/>
        </w:rPr>
      </w:pPr>
    </w:p>
    <w:p w14:paraId="7071E264" w14:textId="5C0719D3" w:rsidR="00C82CF2" w:rsidRPr="00C82CF2" w:rsidRDefault="00C82CF2" w:rsidP="005A37CB">
      <w:pPr>
        <w:spacing w:after="160"/>
        <w:jc w:val="both"/>
        <w:rPr>
          <w:rFonts w:ascii="Arial" w:eastAsia="Calibri" w:hAnsi="Arial" w:cs="Arial"/>
          <w:sz w:val="23"/>
          <w:szCs w:val="23"/>
          <w:lang w:val="es-MX" w:eastAsia="en-US"/>
        </w:rPr>
      </w:pPr>
    </w:p>
    <w:p w14:paraId="1776AB77" w14:textId="77777777" w:rsidR="00C82CF2" w:rsidRPr="00C82CF2" w:rsidRDefault="00C82CF2" w:rsidP="005A37CB">
      <w:pPr>
        <w:spacing w:after="160"/>
        <w:jc w:val="both"/>
        <w:rPr>
          <w:rFonts w:ascii="Arial" w:eastAsia="Calibri" w:hAnsi="Arial" w:cs="Arial"/>
          <w:sz w:val="23"/>
          <w:szCs w:val="23"/>
          <w:lang w:val="es-MX" w:eastAsia="en-US"/>
        </w:rPr>
      </w:pPr>
    </w:p>
    <w:p w14:paraId="5C90DF1F" w14:textId="16AD93B0" w:rsidR="00BC0F9E" w:rsidRPr="00C82CF2" w:rsidRDefault="005A37CB" w:rsidP="005A37CB">
      <w:pPr>
        <w:spacing w:after="160"/>
        <w:jc w:val="both"/>
        <w:rPr>
          <w:rFonts w:ascii="Arial" w:eastAsia="Calibri" w:hAnsi="Arial" w:cs="Arial"/>
          <w:sz w:val="23"/>
          <w:szCs w:val="23"/>
          <w:lang w:val="es-MX" w:eastAsia="en-US"/>
        </w:rPr>
      </w:pPr>
      <w:r w:rsidRPr="00C82CF2">
        <w:rPr>
          <w:rFonts w:ascii="Arial" w:eastAsia="Calibri" w:hAnsi="Arial" w:cs="Arial"/>
          <w:sz w:val="23"/>
          <w:szCs w:val="23"/>
          <w:lang w:val="es-MX" w:eastAsia="en-US"/>
        </w:rPr>
        <w:t xml:space="preserve">La presente hoja de firmas forma parte integral de la presente acta, relativa a la </w:t>
      </w:r>
      <w:r w:rsidR="00D728C4" w:rsidRPr="00C82CF2">
        <w:rPr>
          <w:rFonts w:ascii="Arial" w:eastAsia="Calibri" w:hAnsi="Arial" w:cs="Arial"/>
          <w:sz w:val="23"/>
          <w:szCs w:val="23"/>
          <w:lang w:val="es-MX" w:eastAsia="en-US"/>
        </w:rPr>
        <w:t>Quinta</w:t>
      </w:r>
      <w:r w:rsidRPr="00C82CF2">
        <w:rPr>
          <w:rFonts w:ascii="Arial" w:eastAsia="Calibri" w:hAnsi="Arial" w:cs="Arial"/>
          <w:sz w:val="23"/>
          <w:szCs w:val="23"/>
          <w:lang w:val="es-MX" w:eastAsia="en-US"/>
        </w:rPr>
        <w:t xml:space="preserve"> Sesión </w:t>
      </w:r>
      <w:r w:rsidR="00B03635" w:rsidRPr="00C82CF2">
        <w:rPr>
          <w:rFonts w:ascii="Arial" w:eastAsia="Calibri" w:hAnsi="Arial" w:cs="Arial"/>
          <w:sz w:val="23"/>
          <w:szCs w:val="23"/>
          <w:lang w:val="es-MX" w:eastAsia="en-US"/>
        </w:rPr>
        <w:t>Extrao</w:t>
      </w:r>
      <w:r w:rsidR="00C3587F" w:rsidRPr="00C82CF2">
        <w:rPr>
          <w:rFonts w:ascii="Arial" w:eastAsia="Calibri" w:hAnsi="Arial" w:cs="Arial"/>
          <w:sz w:val="23"/>
          <w:szCs w:val="23"/>
          <w:lang w:val="es-MX" w:eastAsia="en-US"/>
        </w:rPr>
        <w:t>rdinaria</w:t>
      </w:r>
      <w:r w:rsidRPr="00C82CF2">
        <w:rPr>
          <w:rFonts w:ascii="Arial" w:eastAsia="Calibri" w:hAnsi="Arial" w:cs="Arial"/>
          <w:sz w:val="23"/>
          <w:szCs w:val="23"/>
          <w:lang w:val="es-MX" w:eastAsia="en-US"/>
        </w:rPr>
        <w:t xml:space="preserve"> del 202</w:t>
      </w:r>
      <w:r w:rsidR="00966075" w:rsidRPr="00C82CF2">
        <w:rPr>
          <w:rFonts w:ascii="Arial" w:eastAsia="Calibri" w:hAnsi="Arial" w:cs="Arial"/>
          <w:sz w:val="23"/>
          <w:szCs w:val="23"/>
          <w:lang w:val="es-MX" w:eastAsia="en-US"/>
        </w:rPr>
        <w:t>2</w:t>
      </w:r>
      <w:r w:rsidRPr="00C82CF2">
        <w:rPr>
          <w:rFonts w:ascii="Arial" w:eastAsia="Calibri" w:hAnsi="Arial" w:cs="Arial"/>
          <w:sz w:val="23"/>
          <w:szCs w:val="23"/>
          <w:lang w:val="es-MX" w:eastAsia="en-US"/>
        </w:rPr>
        <w:t>, del Comité de Transparencia de la Secretaría Ejecutiva del Sistema Estatal Anticorrupción de Jalisco. -----------------------------------------</w:t>
      </w:r>
      <w:r w:rsidR="00EB47F1" w:rsidRPr="00C82CF2">
        <w:rPr>
          <w:rFonts w:ascii="Arial" w:eastAsia="Calibri" w:hAnsi="Arial" w:cs="Arial"/>
          <w:sz w:val="23"/>
          <w:szCs w:val="23"/>
          <w:lang w:val="es-MX" w:eastAsia="en-US"/>
        </w:rPr>
        <w:t>-------------</w:t>
      </w:r>
    </w:p>
    <w:sectPr w:rsidR="00BC0F9E" w:rsidRPr="00C82CF2" w:rsidSect="00002F48">
      <w:headerReference w:type="default" r:id="rId12"/>
      <w:footerReference w:type="even" r:id="rId13"/>
      <w:footerReference w:type="default" r:id="rId14"/>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E741" w14:textId="77777777" w:rsidR="00614901" w:rsidRDefault="00614901">
      <w:r>
        <w:separator/>
      </w:r>
    </w:p>
  </w:endnote>
  <w:endnote w:type="continuationSeparator" w:id="0">
    <w:p w14:paraId="1793E0B7" w14:textId="77777777" w:rsidR="00614901" w:rsidRDefault="006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2CDE" w14:textId="77777777" w:rsidR="00614901" w:rsidRDefault="00614901">
      <w:r>
        <w:separator/>
      </w:r>
    </w:p>
  </w:footnote>
  <w:footnote w:type="continuationSeparator" w:id="0">
    <w:p w14:paraId="169C9563" w14:textId="77777777" w:rsidR="00614901" w:rsidRDefault="0061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7E92"/>
    <w:multiLevelType w:val="hybridMultilevel"/>
    <w:tmpl w:val="E36C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D6FDD"/>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85E04DB"/>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1963E3"/>
    <w:multiLevelType w:val="hybridMultilevel"/>
    <w:tmpl w:val="B9269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4003EED"/>
    <w:multiLevelType w:val="hybridMultilevel"/>
    <w:tmpl w:val="ADEA7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C535A5"/>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4"/>
  </w:num>
  <w:num w:numId="4" w16cid:durableId="838426553">
    <w:abstractNumId w:val="19"/>
  </w:num>
  <w:num w:numId="5" w16cid:durableId="1448960828">
    <w:abstractNumId w:val="36"/>
  </w:num>
  <w:num w:numId="6" w16cid:durableId="1837845053">
    <w:abstractNumId w:val="34"/>
  </w:num>
  <w:num w:numId="7" w16cid:durableId="875586012">
    <w:abstractNumId w:val="16"/>
  </w:num>
  <w:num w:numId="8" w16cid:durableId="1114902470">
    <w:abstractNumId w:val="8"/>
  </w:num>
  <w:num w:numId="9" w16cid:durableId="1557086049">
    <w:abstractNumId w:val="6"/>
  </w:num>
  <w:num w:numId="10" w16cid:durableId="1599681352">
    <w:abstractNumId w:val="24"/>
  </w:num>
  <w:num w:numId="11" w16cid:durableId="1203245999">
    <w:abstractNumId w:val="4"/>
  </w:num>
  <w:num w:numId="12" w16cid:durableId="86116569">
    <w:abstractNumId w:val="27"/>
  </w:num>
  <w:num w:numId="13" w16cid:durableId="1102460309">
    <w:abstractNumId w:val="9"/>
  </w:num>
  <w:num w:numId="14" w16cid:durableId="1295059437">
    <w:abstractNumId w:val="30"/>
  </w:num>
  <w:num w:numId="15" w16cid:durableId="545337197">
    <w:abstractNumId w:val="7"/>
  </w:num>
  <w:num w:numId="16" w16cid:durableId="1856915594">
    <w:abstractNumId w:val="33"/>
  </w:num>
  <w:num w:numId="17" w16cid:durableId="1986548339">
    <w:abstractNumId w:val="3"/>
  </w:num>
  <w:num w:numId="18" w16cid:durableId="999622872">
    <w:abstractNumId w:val="12"/>
  </w:num>
  <w:num w:numId="19" w16cid:durableId="864175453">
    <w:abstractNumId w:val="1"/>
  </w:num>
  <w:num w:numId="20" w16cid:durableId="8280579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23"/>
  </w:num>
  <w:num w:numId="22" w16cid:durableId="1114858713">
    <w:abstractNumId w:val="10"/>
  </w:num>
  <w:num w:numId="23" w16cid:durableId="1850564738">
    <w:abstractNumId w:val="5"/>
  </w:num>
  <w:num w:numId="24" w16cid:durableId="2143133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32"/>
  </w:num>
  <w:num w:numId="27" w16cid:durableId="12797999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3"/>
  </w:num>
  <w:num w:numId="29" w16cid:durableId="790824758">
    <w:abstractNumId w:val="11"/>
  </w:num>
  <w:num w:numId="30" w16cid:durableId="1546672322">
    <w:abstractNumId w:val="35"/>
  </w:num>
  <w:num w:numId="31" w16cid:durableId="1086195342">
    <w:abstractNumId w:val="18"/>
  </w:num>
  <w:num w:numId="32" w16cid:durableId="1250846326">
    <w:abstractNumId w:val="25"/>
  </w:num>
  <w:num w:numId="33" w16cid:durableId="355354036">
    <w:abstractNumId w:val="26"/>
  </w:num>
  <w:num w:numId="34" w16cid:durableId="8482508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3772200">
    <w:abstractNumId w:val="20"/>
  </w:num>
  <w:num w:numId="36" w16cid:durableId="1237739171">
    <w:abstractNumId w:val="31"/>
  </w:num>
  <w:num w:numId="37" w16cid:durableId="1893468615">
    <w:abstractNumId w:val="15"/>
  </w:num>
  <w:num w:numId="38" w16cid:durableId="1235047107">
    <w:abstractNumId w:val="17"/>
  </w:num>
  <w:num w:numId="39" w16cid:durableId="361782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76A"/>
    <w:rsid w:val="00002F48"/>
    <w:rsid w:val="00025756"/>
    <w:rsid w:val="00034F46"/>
    <w:rsid w:val="00044198"/>
    <w:rsid w:val="00045C8D"/>
    <w:rsid w:val="0005331F"/>
    <w:rsid w:val="000551EB"/>
    <w:rsid w:val="0005673D"/>
    <w:rsid w:val="00062A99"/>
    <w:rsid w:val="00066334"/>
    <w:rsid w:val="00091937"/>
    <w:rsid w:val="00092550"/>
    <w:rsid w:val="00092E9B"/>
    <w:rsid w:val="000957A3"/>
    <w:rsid w:val="000B098F"/>
    <w:rsid w:val="000B4074"/>
    <w:rsid w:val="000B5E0B"/>
    <w:rsid w:val="000F26C1"/>
    <w:rsid w:val="000F7F02"/>
    <w:rsid w:val="00104DCC"/>
    <w:rsid w:val="00111E81"/>
    <w:rsid w:val="00115C4B"/>
    <w:rsid w:val="00115CF3"/>
    <w:rsid w:val="001216B8"/>
    <w:rsid w:val="00123E67"/>
    <w:rsid w:val="0013000D"/>
    <w:rsid w:val="00131DEA"/>
    <w:rsid w:val="00132CE4"/>
    <w:rsid w:val="00137ABB"/>
    <w:rsid w:val="00153B3D"/>
    <w:rsid w:val="001542A0"/>
    <w:rsid w:val="00160DF8"/>
    <w:rsid w:val="001634FF"/>
    <w:rsid w:val="00170C07"/>
    <w:rsid w:val="00171890"/>
    <w:rsid w:val="00172663"/>
    <w:rsid w:val="001832CB"/>
    <w:rsid w:val="00187922"/>
    <w:rsid w:val="001A2D44"/>
    <w:rsid w:val="001B3EE4"/>
    <w:rsid w:val="001C5C23"/>
    <w:rsid w:val="001D0E4E"/>
    <w:rsid w:val="001E1EFE"/>
    <w:rsid w:val="001E2BFC"/>
    <w:rsid w:val="001F1185"/>
    <w:rsid w:val="001F669D"/>
    <w:rsid w:val="001F6A8B"/>
    <w:rsid w:val="00211CA3"/>
    <w:rsid w:val="00213497"/>
    <w:rsid w:val="0023023F"/>
    <w:rsid w:val="00232BD7"/>
    <w:rsid w:val="00232EEA"/>
    <w:rsid w:val="00233C0B"/>
    <w:rsid w:val="00234800"/>
    <w:rsid w:val="00236A51"/>
    <w:rsid w:val="0024601A"/>
    <w:rsid w:val="002463D8"/>
    <w:rsid w:val="002473FE"/>
    <w:rsid w:val="00255914"/>
    <w:rsid w:val="00262AFA"/>
    <w:rsid w:val="00274A65"/>
    <w:rsid w:val="00286E66"/>
    <w:rsid w:val="002873D1"/>
    <w:rsid w:val="00296954"/>
    <w:rsid w:val="002A7E87"/>
    <w:rsid w:val="002C0D67"/>
    <w:rsid w:val="002C73E8"/>
    <w:rsid w:val="002D53B9"/>
    <w:rsid w:val="002D70CF"/>
    <w:rsid w:val="002E6EF2"/>
    <w:rsid w:val="00303364"/>
    <w:rsid w:val="00313597"/>
    <w:rsid w:val="00317696"/>
    <w:rsid w:val="0032343F"/>
    <w:rsid w:val="00333274"/>
    <w:rsid w:val="003603FF"/>
    <w:rsid w:val="00366135"/>
    <w:rsid w:val="00371BFA"/>
    <w:rsid w:val="00376665"/>
    <w:rsid w:val="003810CF"/>
    <w:rsid w:val="00383996"/>
    <w:rsid w:val="00384645"/>
    <w:rsid w:val="00387247"/>
    <w:rsid w:val="003931DE"/>
    <w:rsid w:val="003A0C1C"/>
    <w:rsid w:val="003A1493"/>
    <w:rsid w:val="003A45EB"/>
    <w:rsid w:val="003B1F51"/>
    <w:rsid w:val="003B5A2D"/>
    <w:rsid w:val="003C2562"/>
    <w:rsid w:val="003C4BE4"/>
    <w:rsid w:val="003C7E40"/>
    <w:rsid w:val="003D1D17"/>
    <w:rsid w:val="003D5128"/>
    <w:rsid w:val="003D68B2"/>
    <w:rsid w:val="003E053E"/>
    <w:rsid w:val="003E3B76"/>
    <w:rsid w:val="003E4F22"/>
    <w:rsid w:val="003F6E1B"/>
    <w:rsid w:val="003F7ED3"/>
    <w:rsid w:val="00403DF5"/>
    <w:rsid w:val="00404C40"/>
    <w:rsid w:val="0040776E"/>
    <w:rsid w:val="00411933"/>
    <w:rsid w:val="00415EE1"/>
    <w:rsid w:val="00423832"/>
    <w:rsid w:val="00426308"/>
    <w:rsid w:val="00436387"/>
    <w:rsid w:val="00441C5A"/>
    <w:rsid w:val="00442019"/>
    <w:rsid w:val="004446BA"/>
    <w:rsid w:val="004506AA"/>
    <w:rsid w:val="00452DF1"/>
    <w:rsid w:val="004644C5"/>
    <w:rsid w:val="004731B4"/>
    <w:rsid w:val="00473A61"/>
    <w:rsid w:val="004776CD"/>
    <w:rsid w:val="00482374"/>
    <w:rsid w:val="00484F01"/>
    <w:rsid w:val="0049149D"/>
    <w:rsid w:val="00496064"/>
    <w:rsid w:val="004A1873"/>
    <w:rsid w:val="004B3D3D"/>
    <w:rsid w:val="004B6E1E"/>
    <w:rsid w:val="004B7C26"/>
    <w:rsid w:val="004C2AE6"/>
    <w:rsid w:val="004E3EFC"/>
    <w:rsid w:val="004E68BA"/>
    <w:rsid w:val="004F46F4"/>
    <w:rsid w:val="004F647E"/>
    <w:rsid w:val="004F67E9"/>
    <w:rsid w:val="004F6BA7"/>
    <w:rsid w:val="00500748"/>
    <w:rsid w:val="00507EAC"/>
    <w:rsid w:val="00524B47"/>
    <w:rsid w:val="00526278"/>
    <w:rsid w:val="005278AB"/>
    <w:rsid w:val="005315E2"/>
    <w:rsid w:val="0053500C"/>
    <w:rsid w:val="005367A3"/>
    <w:rsid w:val="00537859"/>
    <w:rsid w:val="005408F2"/>
    <w:rsid w:val="0054637B"/>
    <w:rsid w:val="0056416F"/>
    <w:rsid w:val="005701C0"/>
    <w:rsid w:val="00574AC2"/>
    <w:rsid w:val="00575260"/>
    <w:rsid w:val="005A37CB"/>
    <w:rsid w:val="005A4A31"/>
    <w:rsid w:val="005A6BF8"/>
    <w:rsid w:val="005C7EA6"/>
    <w:rsid w:val="005E02D5"/>
    <w:rsid w:val="005E5C35"/>
    <w:rsid w:val="006042B8"/>
    <w:rsid w:val="00605A02"/>
    <w:rsid w:val="00606FA6"/>
    <w:rsid w:val="0060783B"/>
    <w:rsid w:val="00614901"/>
    <w:rsid w:val="00614F3C"/>
    <w:rsid w:val="0063044F"/>
    <w:rsid w:val="00632F84"/>
    <w:rsid w:val="0063586B"/>
    <w:rsid w:val="006372ED"/>
    <w:rsid w:val="006410DA"/>
    <w:rsid w:val="00645E4F"/>
    <w:rsid w:val="00652B0D"/>
    <w:rsid w:val="00653773"/>
    <w:rsid w:val="00653C07"/>
    <w:rsid w:val="00656745"/>
    <w:rsid w:val="00673323"/>
    <w:rsid w:val="006800E6"/>
    <w:rsid w:val="006820D7"/>
    <w:rsid w:val="006843A4"/>
    <w:rsid w:val="0068743C"/>
    <w:rsid w:val="006A268B"/>
    <w:rsid w:val="006B00BA"/>
    <w:rsid w:val="006B5165"/>
    <w:rsid w:val="006B7F22"/>
    <w:rsid w:val="006C4650"/>
    <w:rsid w:val="006C474E"/>
    <w:rsid w:val="006C7409"/>
    <w:rsid w:val="006E4EEC"/>
    <w:rsid w:val="006E6093"/>
    <w:rsid w:val="006F4E5A"/>
    <w:rsid w:val="00703FCB"/>
    <w:rsid w:val="00705D19"/>
    <w:rsid w:val="0072649B"/>
    <w:rsid w:val="007268AD"/>
    <w:rsid w:val="00732431"/>
    <w:rsid w:val="0073346E"/>
    <w:rsid w:val="007470CD"/>
    <w:rsid w:val="007577BD"/>
    <w:rsid w:val="00780152"/>
    <w:rsid w:val="00797AD0"/>
    <w:rsid w:val="007A295C"/>
    <w:rsid w:val="007C0275"/>
    <w:rsid w:val="007D38E2"/>
    <w:rsid w:val="007D3F67"/>
    <w:rsid w:val="007D5063"/>
    <w:rsid w:val="007E1291"/>
    <w:rsid w:val="007F3B29"/>
    <w:rsid w:val="008025FB"/>
    <w:rsid w:val="008037CB"/>
    <w:rsid w:val="00804A37"/>
    <w:rsid w:val="0081052D"/>
    <w:rsid w:val="00814BC3"/>
    <w:rsid w:val="0081552E"/>
    <w:rsid w:val="008167FA"/>
    <w:rsid w:val="00820D30"/>
    <w:rsid w:val="00822AAF"/>
    <w:rsid w:val="00822EFA"/>
    <w:rsid w:val="0082323D"/>
    <w:rsid w:val="00830A89"/>
    <w:rsid w:val="00835885"/>
    <w:rsid w:val="008376C9"/>
    <w:rsid w:val="00844658"/>
    <w:rsid w:val="00852F82"/>
    <w:rsid w:val="00857D8B"/>
    <w:rsid w:val="008604BE"/>
    <w:rsid w:val="00862795"/>
    <w:rsid w:val="0087022A"/>
    <w:rsid w:val="00875F4E"/>
    <w:rsid w:val="008761F2"/>
    <w:rsid w:val="00881B20"/>
    <w:rsid w:val="008922F7"/>
    <w:rsid w:val="008958E3"/>
    <w:rsid w:val="008A2C40"/>
    <w:rsid w:val="008A577A"/>
    <w:rsid w:val="008A696A"/>
    <w:rsid w:val="008B1491"/>
    <w:rsid w:val="008B2C4A"/>
    <w:rsid w:val="008B438C"/>
    <w:rsid w:val="008C5906"/>
    <w:rsid w:val="008C7A64"/>
    <w:rsid w:val="008D0454"/>
    <w:rsid w:val="008E38C7"/>
    <w:rsid w:val="008F5073"/>
    <w:rsid w:val="008F62D8"/>
    <w:rsid w:val="009004E7"/>
    <w:rsid w:val="00905EED"/>
    <w:rsid w:val="00917393"/>
    <w:rsid w:val="0092212B"/>
    <w:rsid w:val="00922C6B"/>
    <w:rsid w:val="0093463D"/>
    <w:rsid w:val="0093579A"/>
    <w:rsid w:val="00947DCA"/>
    <w:rsid w:val="00952340"/>
    <w:rsid w:val="0095526F"/>
    <w:rsid w:val="00960243"/>
    <w:rsid w:val="00966075"/>
    <w:rsid w:val="009869C6"/>
    <w:rsid w:val="009969E2"/>
    <w:rsid w:val="009B205A"/>
    <w:rsid w:val="009B3E91"/>
    <w:rsid w:val="009C1292"/>
    <w:rsid w:val="009C4EF9"/>
    <w:rsid w:val="009D3D64"/>
    <w:rsid w:val="009D7D93"/>
    <w:rsid w:val="009E48B8"/>
    <w:rsid w:val="009E72A9"/>
    <w:rsid w:val="009F05A2"/>
    <w:rsid w:val="00A01B9C"/>
    <w:rsid w:val="00A053E4"/>
    <w:rsid w:val="00A14125"/>
    <w:rsid w:val="00A179EF"/>
    <w:rsid w:val="00A236BB"/>
    <w:rsid w:val="00A30F06"/>
    <w:rsid w:val="00A34FD5"/>
    <w:rsid w:val="00A36208"/>
    <w:rsid w:val="00A37C43"/>
    <w:rsid w:val="00A51B76"/>
    <w:rsid w:val="00A613DB"/>
    <w:rsid w:val="00A65842"/>
    <w:rsid w:val="00A708A1"/>
    <w:rsid w:val="00A735B4"/>
    <w:rsid w:val="00A84007"/>
    <w:rsid w:val="00A84804"/>
    <w:rsid w:val="00A901F5"/>
    <w:rsid w:val="00A92033"/>
    <w:rsid w:val="00AA500E"/>
    <w:rsid w:val="00AD3B40"/>
    <w:rsid w:val="00AD7FF5"/>
    <w:rsid w:val="00AE3E07"/>
    <w:rsid w:val="00AF28EA"/>
    <w:rsid w:val="00B03635"/>
    <w:rsid w:val="00B04A14"/>
    <w:rsid w:val="00B052EF"/>
    <w:rsid w:val="00B10985"/>
    <w:rsid w:val="00B20398"/>
    <w:rsid w:val="00B214B1"/>
    <w:rsid w:val="00B24D91"/>
    <w:rsid w:val="00B3481B"/>
    <w:rsid w:val="00B34870"/>
    <w:rsid w:val="00B51B17"/>
    <w:rsid w:val="00B53F84"/>
    <w:rsid w:val="00B54520"/>
    <w:rsid w:val="00B63910"/>
    <w:rsid w:val="00B66CB5"/>
    <w:rsid w:val="00B737A5"/>
    <w:rsid w:val="00B7653D"/>
    <w:rsid w:val="00B7704E"/>
    <w:rsid w:val="00B96E6F"/>
    <w:rsid w:val="00BB174E"/>
    <w:rsid w:val="00BB6F0E"/>
    <w:rsid w:val="00BB7752"/>
    <w:rsid w:val="00BC0F9E"/>
    <w:rsid w:val="00BD1ED3"/>
    <w:rsid w:val="00BD2077"/>
    <w:rsid w:val="00BD71D2"/>
    <w:rsid w:val="00BD7A12"/>
    <w:rsid w:val="00BE7E7E"/>
    <w:rsid w:val="00C013FB"/>
    <w:rsid w:val="00C06606"/>
    <w:rsid w:val="00C16C35"/>
    <w:rsid w:val="00C23F7A"/>
    <w:rsid w:val="00C2588F"/>
    <w:rsid w:val="00C324AE"/>
    <w:rsid w:val="00C32CAB"/>
    <w:rsid w:val="00C354C6"/>
    <w:rsid w:val="00C3587F"/>
    <w:rsid w:val="00C40090"/>
    <w:rsid w:val="00C478A2"/>
    <w:rsid w:val="00C53AD3"/>
    <w:rsid w:val="00C565C3"/>
    <w:rsid w:val="00C5690A"/>
    <w:rsid w:val="00C6610F"/>
    <w:rsid w:val="00C7511B"/>
    <w:rsid w:val="00C80992"/>
    <w:rsid w:val="00C811F7"/>
    <w:rsid w:val="00C8262C"/>
    <w:rsid w:val="00C82CF2"/>
    <w:rsid w:val="00C83DEA"/>
    <w:rsid w:val="00C86AEC"/>
    <w:rsid w:val="00C90E67"/>
    <w:rsid w:val="00C96BB7"/>
    <w:rsid w:val="00CA2449"/>
    <w:rsid w:val="00CA4AFD"/>
    <w:rsid w:val="00CA5364"/>
    <w:rsid w:val="00CA61F0"/>
    <w:rsid w:val="00CA6BF8"/>
    <w:rsid w:val="00CA73F3"/>
    <w:rsid w:val="00CB0CC8"/>
    <w:rsid w:val="00CC371B"/>
    <w:rsid w:val="00CE3AFB"/>
    <w:rsid w:val="00CE586B"/>
    <w:rsid w:val="00CF5BEA"/>
    <w:rsid w:val="00D04A7C"/>
    <w:rsid w:val="00D04DE0"/>
    <w:rsid w:val="00D0586F"/>
    <w:rsid w:val="00D35EC2"/>
    <w:rsid w:val="00D44373"/>
    <w:rsid w:val="00D4468A"/>
    <w:rsid w:val="00D514E6"/>
    <w:rsid w:val="00D52FEE"/>
    <w:rsid w:val="00D54430"/>
    <w:rsid w:val="00D6429F"/>
    <w:rsid w:val="00D67FB7"/>
    <w:rsid w:val="00D728C4"/>
    <w:rsid w:val="00D7571E"/>
    <w:rsid w:val="00D810BA"/>
    <w:rsid w:val="00D83536"/>
    <w:rsid w:val="00D84321"/>
    <w:rsid w:val="00D86563"/>
    <w:rsid w:val="00D86B9C"/>
    <w:rsid w:val="00D91F98"/>
    <w:rsid w:val="00D941A3"/>
    <w:rsid w:val="00D95D44"/>
    <w:rsid w:val="00DA00D5"/>
    <w:rsid w:val="00DB169F"/>
    <w:rsid w:val="00DC4DC4"/>
    <w:rsid w:val="00DC7DB4"/>
    <w:rsid w:val="00DD4B3E"/>
    <w:rsid w:val="00DD5399"/>
    <w:rsid w:val="00DE0E72"/>
    <w:rsid w:val="00DE67BE"/>
    <w:rsid w:val="00DF1595"/>
    <w:rsid w:val="00E05C21"/>
    <w:rsid w:val="00E11A78"/>
    <w:rsid w:val="00E12508"/>
    <w:rsid w:val="00E14B57"/>
    <w:rsid w:val="00E15E3A"/>
    <w:rsid w:val="00E17113"/>
    <w:rsid w:val="00E17E4F"/>
    <w:rsid w:val="00E41503"/>
    <w:rsid w:val="00E52858"/>
    <w:rsid w:val="00E60B12"/>
    <w:rsid w:val="00E65E58"/>
    <w:rsid w:val="00E806BB"/>
    <w:rsid w:val="00E8717D"/>
    <w:rsid w:val="00E922D4"/>
    <w:rsid w:val="00E92618"/>
    <w:rsid w:val="00E94ED2"/>
    <w:rsid w:val="00EA241E"/>
    <w:rsid w:val="00EA43E2"/>
    <w:rsid w:val="00EB47F1"/>
    <w:rsid w:val="00EC6570"/>
    <w:rsid w:val="00ED0702"/>
    <w:rsid w:val="00ED42E8"/>
    <w:rsid w:val="00ED5206"/>
    <w:rsid w:val="00EE6C10"/>
    <w:rsid w:val="00EF57B5"/>
    <w:rsid w:val="00F04530"/>
    <w:rsid w:val="00F046C1"/>
    <w:rsid w:val="00F074BE"/>
    <w:rsid w:val="00F10B2D"/>
    <w:rsid w:val="00F118E6"/>
    <w:rsid w:val="00F14AE1"/>
    <w:rsid w:val="00F16677"/>
    <w:rsid w:val="00F23098"/>
    <w:rsid w:val="00F261EA"/>
    <w:rsid w:val="00F3387F"/>
    <w:rsid w:val="00F40490"/>
    <w:rsid w:val="00F46286"/>
    <w:rsid w:val="00F4780C"/>
    <w:rsid w:val="00F524E8"/>
    <w:rsid w:val="00F562E5"/>
    <w:rsid w:val="00F5789E"/>
    <w:rsid w:val="00F719E1"/>
    <w:rsid w:val="00F71B79"/>
    <w:rsid w:val="00F80257"/>
    <w:rsid w:val="00F85C80"/>
    <w:rsid w:val="00F95AFE"/>
    <w:rsid w:val="00F95F7A"/>
    <w:rsid w:val="00FC23DC"/>
    <w:rsid w:val="00FC49AC"/>
    <w:rsid w:val="00FE1BD2"/>
    <w:rsid w:val="00FE301C"/>
    <w:rsid w:val="00FE3867"/>
    <w:rsid w:val="00FF0344"/>
    <w:rsid w:val="00FF3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40"/>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298">
      <w:bodyDiv w:val="1"/>
      <w:marLeft w:val="0"/>
      <w:marRight w:val="0"/>
      <w:marTop w:val="0"/>
      <w:marBottom w:val="0"/>
      <w:divBdr>
        <w:top w:val="none" w:sz="0" w:space="0" w:color="auto"/>
        <w:left w:val="none" w:sz="0" w:space="0" w:color="auto"/>
        <w:bottom w:val="none" w:sz="0" w:space="0" w:color="auto"/>
        <w:right w:val="none" w:sz="0" w:space="0" w:color="auto"/>
      </w:divBdr>
    </w:div>
    <w:div w:id="135992647">
      <w:bodyDiv w:val="1"/>
      <w:marLeft w:val="0"/>
      <w:marRight w:val="0"/>
      <w:marTop w:val="0"/>
      <w:marBottom w:val="0"/>
      <w:divBdr>
        <w:top w:val="none" w:sz="0" w:space="0" w:color="auto"/>
        <w:left w:val="none" w:sz="0" w:space="0" w:color="auto"/>
        <w:bottom w:val="none" w:sz="0" w:space="0" w:color="auto"/>
        <w:right w:val="none" w:sz="0" w:space="0" w:color="auto"/>
      </w:divBdr>
    </w:div>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225339309">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430204354">
      <w:bodyDiv w:val="1"/>
      <w:marLeft w:val="0"/>
      <w:marRight w:val="0"/>
      <w:marTop w:val="0"/>
      <w:marBottom w:val="0"/>
      <w:divBdr>
        <w:top w:val="none" w:sz="0" w:space="0" w:color="auto"/>
        <w:left w:val="none" w:sz="0" w:space="0" w:color="auto"/>
        <w:bottom w:val="none" w:sz="0" w:space="0" w:color="auto"/>
        <w:right w:val="none" w:sz="0" w:space="0" w:color="auto"/>
      </w:divBdr>
    </w:div>
    <w:div w:id="464349715">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14729225">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888297468">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40982542">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55490978">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05096018">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314019755">
      <w:bodyDiv w:val="1"/>
      <w:marLeft w:val="0"/>
      <w:marRight w:val="0"/>
      <w:marTop w:val="0"/>
      <w:marBottom w:val="0"/>
      <w:divBdr>
        <w:top w:val="none" w:sz="0" w:space="0" w:color="auto"/>
        <w:left w:val="none" w:sz="0" w:space="0" w:color="auto"/>
        <w:bottom w:val="none" w:sz="0" w:space="0" w:color="auto"/>
        <w:right w:val="none" w:sz="0" w:space="0" w:color="auto"/>
      </w:divBdr>
    </w:div>
    <w:div w:id="1394039614">
      <w:bodyDiv w:val="1"/>
      <w:marLeft w:val="0"/>
      <w:marRight w:val="0"/>
      <w:marTop w:val="0"/>
      <w:marBottom w:val="0"/>
      <w:divBdr>
        <w:top w:val="none" w:sz="0" w:space="0" w:color="auto"/>
        <w:left w:val="none" w:sz="0" w:space="0" w:color="auto"/>
        <w:bottom w:val="none" w:sz="0" w:space="0" w:color="auto"/>
        <w:right w:val="none" w:sz="0" w:space="0" w:color="auto"/>
      </w:divBdr>
    </w:div>
    <w:div w:id="1433746139">
      <w:bodyDiv w:val="1"/>
      <w:marLeft w:val="0"/>
      <w:marRight w:val="0"/>
      <w:marTop w:val="0"/>
      <w:marBottom w:val="0"/>
      <w:divBdr>
        <w:top w:val="none" w:sz="0" w:space="0" w:color="auto"/>
        <w:left w:val="none" w:sz="0" w:space="0" w:color="auto"/>
        <w:bottom w:val="none" w:sz="0" w:space="0" w:color="auto"/>
        <w:right w:val="none" w:sz="0" w:space="0" w:color="auto"/>
      </w:divBdr>
    </w:div>
    <w:div w:id="1439065923">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00083412">
      <w:bodyDiv w:val="1"/>
      <w:marLeft w:val="0"/>
      <w:marRight w:val="0"/>
      <w:marTop w:val="0"/>
      <w:marBottom w:val="0"/>
      <w:divBdr>
        <w:top w:val="none" w:sz="0" w:space="0" w:color="auto"/>
        <w:left w:val="none" w:sz="0" w:space="0" w:color="auto"/>
        <w:bottom w:val="none" w:sz="0" w:space="0" w:color="auto"/>
        <w:right w:val="none" w:sz="0" w:space="0" w:color="auto"/>
      </w:divBdr>
    </w:div>
    <w:div w:id="1720784706">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26828390">
      <w:bodyDiv w:val="1"/>
      <w:marLeft w:val="0"/>
      <w:marRight w:val="0"/>
      <w:marTop w:val="0"/>
      <w:marBottom w:val="0"/>
      <w:divBdr>
        <w:top w:val="none" w:sz="0" w:space="0" w:color="auto"/>
        <w:left w:val="none" w:sz="0" w:space="0" w:color="auto"/>
        <w:bottom w:val="none" w:sz="0" w:space="0" w:color="auto"/>
        <w:right w:val="none" w:sz="0" w:space="0" w:color="auto"/>
      </w:divBdr>
    </w:div>
    <w:div w:id="1786803281">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35745832">
      <w:bodyDiv w:val="1"/>
      <w:marLeft w:val="0"/>
      <w:marRight w:val="0"/>
      <w:marTop w:val="0"/>
      <w:marBottom w:val="0"/>
      <w:divBdr>
        <w:top w:val="none" w:sz="0" w:space="0" w:color="auto"/>
        <w:left w:val="none" w:sz="0" w:space="0" w:color="auto"/>
        <w:bottom w:val="none" w:sz="0" w:space="0" w:color="auto"/>
        <w:right w:val="none" w:sz="0" w:space="0" w:color="auto"/>
      </w:divBdr>
    </w:div>
    <w:div w:id="1952323169">
      <w:bodyDiv w:val="1"/>
      <w:marLeft w:val="0"/>
      <w:marRight w:val="0"/>
      <w:marTop w:val="0"/>
      <w:marBottom w:val="0"/>
      <w:divBdr>
        <w:top w:val="none" w:sz="0" w:space="0" w:color="auto"/>
        <w:left w:val="none" w:sz="0" w:space="0" w:color="auto"/>
        <w:bottom w:val="none" w:sz="0" w:space="0" w:color="auto"/>
        <w:right w:val="none" w:sz="0" w:space="0" w:color="auto"/>
      </w:divBdr>
    </w:div>
    <w:div w:id="1955944128">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10595759">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061054359">
      <w:bodyDiv w:val="1"/>
      <w:marLeft w:val="0"/>
      <w:marRight w:val="0"/>
      <w:marTop w:val="0"/>
      <w:marBottom w:val="0"/>
      <w:divBdr>
        <w:top w:val="none" w:sz="0" w:space="0" w:color="auto"/>
        <w:left w:val="none" w:sz="0" w:space="0" w:color="auto"/>
        <w:bottom w:val="none" w:sz="0" w:space="0" w:color="auto"/>
        <w:right w:val="none" w:sz="0" w:space="0" w:color="auto"/>
      </w:divBdr>
    </w:div>
    <w:div w:id="2064593288">
      <w:bodyDiv w:val="1"/>
      <w:marLeft w:val="0"/>
      <w:marRight w:val="0"/>
      <w:marTop w:val="0"/>
      <w:marBottom w:val="0"/>
      <w:divBdr>
        <w:top w:val="none" w:sz="0" w:space="0" w:color="auto"/>
        <w:left w:val="none" w:sz="0" w:space="0" w:color="auto"/>
        <w:bottom w:val="none" w:sz="0" w:space="0" w:color="auto"/>
        <w:right w:val="none" w:sz="0" w:space="0" w:color="auto"/>
      </w:divBdr>
    </w:div>
    <w:div w:id="2086952914">
      <w:bodyDiv w:val="1"/>
      <w:marLeft w:val="0"/>
      <w:marRight w:val="0"/>
      <w:marTop w:val="0"/>
      <w:marBottom w:val="0"/>
      <w:divBdr>
        <w:top w:val="none" w:sz="0" w:space="0" w:color="auto"/>
        <w:left w:val="none" w:sz="0" w:space="0" w:color="auto"/>
        <w:bottom w:val="none" w:sz="0" w:space="0" w:color="auto"/>
        <w:right w:val="none" w:sz="0" w:space="0" w:color="auto"/>
      </w:divBdr>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2.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5.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3</cp:revision>
  <cp:lastPrinted>2022-11-15T16:24:00Z</cp:lastPrinted>
  <dcterms:created xsi:type="dcterms:W3CDTF">2022-11-11T20:17:00Z</dcterms:created>
  <dcterms:modified xsi:type="dcterms:W3CDTF">2022-11-15T16:36:00Z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