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A5B" w:rsidRPr="00CC5A5B" w:rsidRDefault="00CC5A5B" w:rsidP="00CC5A5B">
      <w:pPr>
        <w:spacing w:line="259" w:lineRule="auto"/>
        <w:jc w:val="right"/>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 xml:space="preserve">Sexta Sesión Extraordinaria del año 2019,  </w:t>
      </w:r>
    </w:p>
    <w:p w:rsidR="00CC5A5B" w:rsidRPr="00CC5A5B" w:rsidRDefault="00CC5A5B" w:rsidP="00CC5A5B">
      <w:pPr>
        <w:spacing w:line="259" w:lineRule="auto"/>
        <w:jc w:val="right"/>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 xml:space="preserve">06/2019 EXT, del Comité de Transparencia </w:t>
      </w:r>
    </w:p>
    <w:p w:rsidR="00CC5A5B" w:rsidRPr="00CC5A5B" w:rsidRDefault="00CC5A5B" w:rsidP="00CC5A5B">
      <w:pPr>
        <w:spacing w:line="259" w:lineRule="auto"/>
        <w:jc w:val="right"/>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 xml:space="preserve">de la Secretaría Ejecutiva del Sistema Estatal </w:t>
      </w:r>
    </w:p>
    <w:p w:rsidR="00CC5A5B" w:rsidRPr="00CC5A5B" w:rsidRDefault="00CC5A5B" w:rsidP="00CC5A5B">
      <w:pPr>
        <w:spacing w:line="259" w:lineRule="auto"/>
        <w:jc w:val="right"/>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Anticorrupción de Jalisco.</w:t>
      </w:r>
    </w:p>
    <w:p w:rsidR="00CC5A5B" w:rsidRPr="00CC5A5B" w:rsidRDefault="00CC5A5B" w:rsidP="00CC5A5B">
      <w:pPr>
        <w:spacing w:after="160" w:line="259" w:lineRule="auto"/>
        <w:jc w:val="both"/>
        <w:rPr>
          <w:rFonts w:ascii="Verdana" w:eastAsia="Calibri" w:hAnsi="Verdana" w:cs="Consolas"/>
          <w:sz w:val="22"/>
          <w:szCs w:val="22"/>
          <w:lang w:val="es-MX" w:eastAsia="en-US"/>
        </w:rPr>
      </w:pPr>
    </w:p>
    <w:p w:rsidR="00CC5A5B" w:rsidRPr="00CC5A5B" w:rsidRDefault="00CC5A5B" w:rsidP="00CC5A5B">
      <w:pPr>
        <w:spacing w:after="160" w:line="259" w:lineRule="auto"/>
        <w:jc w:val="both"/>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 xml:space="preserve">Siendo las 14:00 catorce horas del día 01 primero de </w:t>
      </w:r>
      <w:r w:rsidR="0005324D">
        <w:rPr>
          <w:rFonts w:ascii="Verdana" w:eastAsia="Calibri" w:hAnsi="Verdana" w:cs="Consolas"/>
          <w:sz w:val="22"/>
          <w:szCs w:val="22"/>
          <w:lang w:val="es-MX" w:eastAsia="en-US"/>
        </w:rPr>
        <w:t>noviem</w:t>
      </w:r>
      <w:r w:rsidRPr="00CC5A5B">
        <w:rPr>
          <w:rFonts w:ascii="Verdana" w:eastAsia="Calibri" w:hAnsi="Verdana" w:cs="Consolas"/>
          <w:sz w:val="22"/>
          <w:szCs w:val="22"/>
          <w:lang w:val="es-MX" w:eastAsia="en-US"/>
        </w:rPr>
        <w:t xml:space="preserve">bre de 2019 dos mil diecinueve,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CC5A5B">
        <w:rPr>
          <w:rFonts w:ascii="Verdana" w:eastAsia="Calibri" w:hAnsi="Verdana" w:cs="Consolas"/>
          <w:b/>
          <w:sz w:val="22"/>
          <w:szCs w:val="22"/>
          <w:lang w:val="es-MX" w:eastAsia="en-US"/>
        </w:rPr>
        <w:t xml:space="preserve">Dra. </w:t>
      </w:r>
      <w:proofErr w:type="spellStart"/>
      <w:r w:rsidRPr="00CC5A5B">
        <w:rPr>
          <w:rFonts w:ascii="Verdana" w:eastAsia="Calibri" w:hAnsi="Verdana" w:cs="Consolas"/>
          <w:b/>
          <w:sz w:val="22"/>
          <w:szCs w:val="22"/>
          <w:lang w:val="es-MX" w:eastAsia="en-US"/>
        </w:rPr>
        <w:t>Haimé</w:t>
      </w:r>
      <w:proofErr w:type="spellEnd"/>
      <w:r w:rsidRPr="00CC5A5B">
        <w:rPr>
          <w:rFonts w:ascii="Verdana" w:eastAsia="Calibri" w:hAnsi="Verdana" w:cs="Consolas"/>
          <w:b/>
          <w:sz w:val="22"/>
          <w:szCs w:val="22"/>
          <w:lang w:val="es-MX" w:eastAsia="en-US"/>
        </w:rPr>
        <w:t xml:space="preserve"> Figueroa Neri</w:t>
      </w:r>
      <w:r w:rsidRPr="00CC5A5B">
        <w:rPr>
          <w:rFonts w:ascii="Verdana" w:eastAsia="Calibri" w:hAnsi="Verdana" w:cs="Consolas"/>
          <w:sz w:val="22"/>
          <w:szCs w:val="22"/>
          <w:lang w:val="es-MX" w:eastAsia="en-US"/>
        </w:rPr>
        <w:t xml:space="preserve">, Secretaria Técnica; el </w:t>
      </w:r>
      <w:r w:rsidRPr="00CC5A5B">
        <w:rPr>
          <w:rFonts w:ascii="Verdana" w:eastAsia="Calibri" w:hAnsi="Verdana" w:cs="Consolas"/>
          <w:b/>
          <w:sz w:val="22"/>
          <w:szCs w:val="22"/>
          <w:lang w:val="es-MX" w:eastAsia="en-US"/>
        </w:rPr>
        <w:t xml:space="preserve">Lic. Jorge Luis Reyes Bravo, </w:t>
      </w:r>
      <w:r w:rsidRPr="00CC5A5B">
        <w:rPr>
          <w:rFonts w:ascii="Verdana" w:eastAsia="Calibri" w:hAnsi="Verdana" w:cs="Arial"/>
          <w:sz w:val="22"/>
          <w:szCs w:val="22"/>
          <w:lang w:val="es-MX" w:eastAsia="en-US"/>
        </w:rPr>
        <w:t xml:space="preserve">encargado del despacho de la Unidad de Transparencia de este sujeto obligado; así como el </w:t>
      </w:r>
      <w:r w:rsidRPr="00CC5A5B">
        <w:rPr>
          <w:rFonts w:ascii="Verdana" w:eastAsia="Calibri" w:hAnsi="Verdana" w:cs="Arial"/>
          <w:b/>
          <w:sz w:val="22"/>
          <w:szCs w:val="22"/>
          <w:lang w:val="es-MX" w:eastAsia="en-US"/>
        </w:rPr>
        <w:t>Lic.</w:t>
      </w:r>
      <w:r w:rsidRPr="00CC5A5B">
        <w:rPr>
          <w:rFonts w:ascii="Verdana" w:eastAsia="Calibri" w:hAnsi="Verdana" w:cs="Arial"/>
          <w:sz w:val="22"/>
          <w:szCs w:val="22"/>
          <w:lang w:val="es-MX" w:eastAsia="en-US"/>
        </w:rPr>
        <w:t xml:space="preserve"> </w:t>
      </w:r>
      <w:r w:rsidRPr="00CC5A5B">
        <w:rPr>
          <w:rFonts w:ascii="Verdana" w:eastAsia="Calibri" w:hAnsi="Verdana" w:cs="Arial"/>
          <w:b/>
          <w:sz w:val="22"/>
          <w:szCs w:val="22"/>
          <w:lang w:val="es-MX" w:eastAsia="en-US"/>
        </w:rPr>
        <w:t>Jorge Arturo Ventura Alfaro</w:t>
      </w:r>
      <w:r w:rsidRPr="00CC5A5B">
        <w:rPr>
          <w:rFonts w:ascii="Verdana" w:eastAsia="Calibri" w:hAnsi="Verdana" w:cs="Arial"/>
          <w:sz w:val="22"/>
          <w:szCs w:val="22"/>
          <w:lang w:val="es-MX" w:eastAsia="en-US"/>
        </w:rPr>
        <w:t xml:space="preserve">, Titular del Órgano Interno de Control </w:t>
      </w:r>
      <w:r w:rsidRPr="00CC5A5B">
        <w:rPr>
          <w:rFonts w:ascii="Verdana" w:eastAsia="Calibri" w:hAnsi="Verdana" w:cs="Consolas"/>
          <w:sz w:val="22"/>
          <w:szCs w:val="22"/>
          <w:lang w:val="es-MX" w:eastAsia="en-US"/>
        </w:rPr>
        <w:t>de esta Secretaría Ejecutiva;</w:t>
      </w:r>
      <w:r w:rsidRPr="00CC5A5B">
        <w:rPr>
          <w:rFonts w:ascii="Verdana" w:eastAsia="Calibri" w:hAnsi="Verdana" w:cs="Arial"/>
          <w:sz w:val="22"/>
          <w:szCs w:val="22"/>
          <w:lang w:val="es-MX" w:eastAsia="en-US"/>
        </w:rPr>
        <w:t xml:space="preserve"> siendo así, se somete </w:t>
      </w:r>
      <w:r w:rsidRPr="00CC5A5B">
        <w:rPr>
          <w:rFonts w:ascii="Verdana" w:eastAsia="Calibri" w:hAnsi="Verdana" w:cs="Consolas"/>
          <w:sz w:val="22"/>
          <w:szCs w:val="22"/>
          <w:lang w:val="es-MX" w:eastAsia="en-US"/>
        </w:rPr>
        <w:t xml:space="preserve">a los presentes el siguiente: </w:t>
      </w:r>
    </w:p>
    <w:p w:rsidR="00CC5A5B" w:rsidRPr="00CC5A5B" w:rsidRDefault="00CC5A5B" w:rsidP="00CC5A5B">
      <w:pPr>
        <w:spacing w:after="160" w:line="259" w:lineRule="auto"/>
        <w:jc w:val="both"/>
        <w:rPr>
          <w:rFonts w:ascii="Verdana" w:eastAsia="Calibri" w:hAnsi="Verdana" w:cs="Consolas"/>
          <w:sz w:val="22"/>
          <w:szCs w:val="22"/>
          <w:lang w:val="es-MX" w:eastAsia="en-US"/>
        </w:rPr>
      </w:pPr>
    </w:p>
    <w:p w:rsidR="00CC5A5B" w:rsidRPr="00CC5A5B" w:rsidRDefault="00CC5A5B" w:rsidP="00CC5A5B">
      <w:pPr>
        <w:spacing w:after="160" w:line="259" w:lineRule="auto"/>
        <w:jc w:val="center"/>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ORDEN DEL DÍA</w:t>
      </w:r>
    </w:p>
    <w:p w:rsidR="00CC5A5B" w:rsidRPr="00CC5A5B" w:rsidRDefault="00CC5A5B" w:rsidP="00CC5A5B">
      <w:pPr>
        <w:numPr>
          <w:ilvl w:val="0"/>
          <w:numId w:val="2"/>
        </w:numPr>
        <w:spacing w:after="160" w:line="259" w:lineRule="auto"/>
        <w:contextualSpacing/>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Lista de asistencia;</w:t>
      </w:r>
    </w:p>
    <w:p w:rsidR="00CC5A5B" w:rsidRPr="00CC5A5B" w:rsidRDefault="00CC5A5B" w:rsidP="00CC5A5B">
      <w:pPr>
        <w:numPr>
          <w:ilvl w:val="0"/>
          <w:numId w:val="2"/>
        </w:numPr>
        <w:spacing w:after="160" w:line="259" w:lineRule="auto"/>
        <w:contextualSpacing/>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Declaratoria de quórum;</w:t>
      </w:r>
    </w:p>
    <w:p w:rsidR="00CC5A5B" w:rsidRPr="00CC5A5B" w:rsidRDefault="00CC5A5B" w:rsidP="00CC5A5B">
      <w:pPr>
        <w:numPr>
          <w:ilvl w:val="0"/>
          <w:numId w:val="2"/>
        </w:numPr>
        <w:spacing w:after="160" w:line="259" w:lineRule="auto"/>
        <w:contextualSpacing/>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Lectura y en su caso, aprobación del Orden del Día;</w:t>
      </w:r>
    </w:p>
    <w:p w:rsidR="00CC5A5B" w:rsidRPr="00CC5A5B" w:rsidRDefault="00CC5A5B" w:rsidP="00CC5A5B">
      <w:pPr>
        <w:numPr>
          <w:ilvl w:val="0"/>
          <w:numId w:val="2"/>
        </w:numPr>
        <w:spacing w:after="160" w:line="259" w:lineRule="auto"/>
        <w:contextualSpacing/>
        <w:jc w:val="both"/>
        <w:rPr>
          <w:rFonts w:ascii="Verdana" w:eastAsia="Calibri" w:hAnsi="Verdana" w:cs="Consolas"/>
          <w:sz w:val="22"/>
          <w:szCs w:val="22"/>
          <w:lang w:val="es-MX" w:eastAsia="en-US"/>
        </w:rPr>
      </w:pPr>
      <w:bookmarkStart w:id="0" w:name="_Hlk21512778"/>
      <w:r w:rsidRPr="00CC5A5B">
        <w:rPr>
          <w:rFonts w:ascii="Verdana" w:eastAsia="Calibri" w:hAnsi="Verdana" w:cs="Consolas"/>
          <w:sz w:val="22"/>
          <w:szCs w:val="22"/>
          <w:lang w:val="es-MX" w:eastAsia="en-US"/>
        </w:rPr>
        <w:lastRenderedPageBreak/>
        <w:t>Aprobación, en su caso, de la versione pública del documento que acredit</w:t>
      </w:r>
      <w:r w:rsidR="009D4553">
        <w:rPr>
          <w:rFonts w:ascii="Verdana" w:eastAsia="Calibri" w:hAnsi="Verdana" w:cs="Consolas"/>
          <w:sz w:val="22"/>
          <w:szCs w:val="22"/>
          <w:lang w:val="es-MX" w:eastAsia="en-US"/>
        </w:rPr>
        <w:t>a</w:t>
      </w:r>
      <w:r w:rsidRPr="00CC5A5B">
        <w:rPr>
          <w:rFonts w:ascii="Verdana" w:eastAsia="Calibri" w:hAnsi="Verdana" w:cs="Consolas"/>
          <w:sz w:val="22"/>
          <w:szCs w:val="22"/>
          <w:lang w:val="es-MX" w:eastAsia="en-US"/>
        </w:rPr>
        <w:t xml:space="preserve"> la incapacidad por enfermedad de la C. </w:t>
      </w:r>
      <w:proofErr w:type="spellStart"/>
      <w:r w:rsidRPr="00CC5A5B">
        <w:rPr>
          <w:rFonts w:ascii="Verdana" w:eastAsia="Calibri" w:hAnsi="Verdana" w:cs="Consolas"/>
          <w:sz w:val="22"/>
          <w:szCs w:val="22"/>
          <w:lang w:val="es-MX" w:eastAsia="en-US"/>
        </w:rPr>
        <w:t>Maxinne</w:t>
      </w:r>
      <w:proofErr w:type="spellEnd"/>
      <w:r w:rsidRPr="00CC5A5B">
        <w:rPr>
          <w:rFonts w:ascii="Verdana" w:eastAsia="Calibri" w:hAnsi="Verdana" w:cs="Consolas"/>
          <w:sz w:val="22"/>
          <w:szCs w:val="22"/>
          <w:lang w:val="es-MX" w:eastAsia="en-US"/>
        </w:rPr>
        <w:t xml:space="preserve"> Grande Ferrer, requerid</w:t>
      </w:r>
      <w:r w:rsidR="0005324D">
        <w:rPr>
          <w:rFonts w:ascii="Verdana" w:eastAsia="Calibri" w:hAnsi="Verdana" w:cs="Consolas"/>
          <w:sz w:val="22"/>
          <w:szCs w:val="22"/>
          <w:lang w:val="es-MX" w:eastAsia="en-US"/>
        </w:rPr>
        <w:t>a</w:t>
      </w:r>
      <w:r w:rsidRPr="00CC5A5B">
        <w:rPr>
          <w:rFonts w:ascii="Verdana" w:eastAsia="Calibri" w:hAnsi="Verdana" w:cs="Consolas"/>
          <w:sz w:val="22"/>
          <w:szCs w:val="22"/>
          <w:lang w:val="es-MX" w:eastAsia="en-US"/>
        </w:rPr>
        <w:t xml:space="preserve"> vía </w:t>
      </w:r>
      <w:proofErr w:type="spellStart"/>
      <w:r w:rsidRPr="00CC5A5B">
        <w:rPr>
          <w:rFonts w:ascii="Verdana" w:eastAsia="Calibri" w:hAnsi="Verdana" w:cs="Consolas"/>
          <w:sz w:val="22"/>
          <w:szCs w:val="22"/>
          <w:lang w:val="es-MX" w:eastAsia="en-US"/>
        </w:rPr>
        <w:t>infomex</w:t>
      </w:r>
      <w:proofErr w:type="spellEnd"/>
      <w:r w:rsidRPr="00CC5A5B">
        <w:rPr>
          <w:rFonts w:ascii="Verdana" w:eastAsia="Calibri" w:hAnsi="Verdana" w:cs="Consolas"/>
          <w:sz w:val="22"/>
          <w:szCs w:val="22"/>
          <w:lang w:val="es-MX" w:eastAsia="en-US"/>
        </w:rPr>
        <w:t>, bajo el número de folio 07833119, relativo al expediente SE/UTI/273/2019, dicha solicitud dirigida a la Secretaría Ejecutiva del Sistema Anticorrupción del Estado de Jalisco.</w:t>
      </w:r>
    </w:p>
    <w:p w:rsidR="00CC5A5B" w:rsidRPr="00CC5A5B" w:rsidRDefault="00CC5A5B" w:rsidP="00CC5A5B">
      <w:pPr>
        <w:spacing w:after="160" w:line="259" w:lineRule="auto"/>
        <w:ind w:left="720"/>
        <w:contextualSpacing/>
        <w:jc w:val="both"/>
        <w:rPr>
          <w:rFonts w:ascii="Verdana" w:eastAsia="Calibri" w:hAnsi="Verdana" w:cs="Consolas"/>
          <w:sz w:val="22"/>
          <w:szCs w:val="22"/>
          <w:lang w:val="es-MX" w:eastAsia="en-US"/>
        </w:rPr>
      </w:pPr>
    </w:p>
    <w:bookmarkEnd w:id="0"/>
    <w:p w:rsidR="00CC5A5B" w:rsidRPr="00CC5A5B" w:rsidRDefault="00CC5A5B" w:rsidP="00CC5A5B">
      <w:pPr>
        <w:spacing w:after="160" w:line="259" w:lineRule="auto"/>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DESAHOGO DE LA ORDEN DEL DÍA</w:t>
      </w:r>
    </w:p>
    <w:p w:rsidR="00CC5A5B" w:rsidRPr="00CC5A5B" w:rsidRDefault="00CC5A5B" w:rsidP="00CC5A5B">
      <w:pPr>
        <w:spacing w:after="160" w:line="259" w:lineRule="auto"/>
        <w:ind w:left="705" w:hanging="705"/>
        <w:jc w:val="both"/>
        <w:rPr>
          <w:rFonts w:ascii="Verdana" w:eastAsia="Calibri" w:hAnsi="Verdana" w:cs="Consolas"/>
          <w:b/>
          <w:sz w:val="22"/>
          <w:szCs w:val="22"/>
          <w:lang w:val="es-MX" w:eastAsia="en-US"/>
        </w:rPr>
      </w:pPr>
    </w:p>
    <w:p w:rsidR="00CC5A5B" w:rsidRPr="00CC5A5B" w:rsidRDefault="00CC5A5B" w:rsidP="00CC5A5B">
      <w:pPr>
        <w:numPr>
          <w:ilvl w:val="0"/>
          <w:numId w:val="1"/>
        </w:numPr>
        <w:spacing w:after="160" w:line="259" w:lineRule="auto"/>
        <w:contextualSpacing/>
        <w:jc w:val="both"/>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LISTA DE ASISTENCIA;</w:t>
      </w:r>
    </w:p>
    <w:p w:rsidR="00CC5A5B" w:rsidRPr="00CC5A5B" w:rsidRDefault="00CC5A5B" w:rsidP="00CC5A5B">
      <w:pPr>
        <w:tabs>
          <w:tab w:val="left" w:pos="284"/>
        </w:tabs>
        <w:spacing w:after="160" w:line="259" w:lineRule="auto"/>
        <w:jc w:val="both"/>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 xml:space="preserve">Una vez </w:t>
      </w:r>
      <w:r w:rsidRPr="004642FE">
        <w:rPr>
          <w:rFonts w:ascii="Verdana" w:eastAsia="Calibri" w:hAnsi="Verdana" w:cs="Consolas"/>
          <w:sz w:val="22"/>
          <w:szCs w:val="22"/>
          <w:lang w:val="es-MX" w:eastAsia="en-US"/>
        </w:rPr>
        <w:t xml:space="preserve">analizado </w:t>
      </w:r>
      <w:r w:rsidRPr="00CC5A5B">
        <w:rPr>
          <w:rFonts w:ascii="Verdana" w:eastAsia="Calibri" w:hAnsi="Verdana" w:cs="Consolas"/>
          <w:sz w:val="22"/>
          <w:szCs w:val="22"/>
          <w:lang w:val="es-MX" w:eastAsia="en-US"/>
        </w:rPr>
        <w:t xml:space="preserve">el punto 1 del orden del día, se anexa a la memoria documental de esta acta, la lista de asistencia, la cual da fe de que se encuentran </w:t>
      </w:r>
      <w:r w:rsidRPr="00CC5A5B">
        <w:rPr>
          <w:rFonts w:ascii="Verdana" w:eastAsia="Calibri" w:hAnsi="Verdana" w:cs="Arial"/>
          <w:sz w:val="22"/>
          <w:szCs w:val="22"/>
          <w:lang w:val="es-MX" w:eastAsia="en-US"/>
        </w:rPr>
        <w:t>presentes en este acto los integrantes del Comité de Transparencia</w:t>
      </w:r>
      <w:r w:rsidRPr="00CC5A5B">
        <w:rPr>
          <w:rFonts w:ascii="Verdana" w:eastAsia="Calibri" w:hAnsi="Verdana" w:cs="Consolas"/>
          <w:sz w:val="22"/>
          <w:szCs w:val="22"/>
          <w:lang w:val="es-MX" w:eastAsia="en-US"/>
        </w:rPr>
        <w:t>.</w:t>
      </w:r>
    </w:p>
    <w:p w:rsidR="00CC5A5B" w:rsidRPr="00CC5A5B" w:rsidRDefault="00CC5A5B" w:rsidP="00CC5A5B">
      <w:pPr>
        <w:spacing w:after="160" w:line="259" w:lineRule="auto"/>
        <w:jc w:val="both"/>
        <w:rPr>
          <w:rFonts w:ascii="Verdana" w:eastAsia="Calibri" w:hAnsi="Verdana" w:cs="Consolas"/>
          <w:sz w:val="22"/>
          <w:szCs w:val="22"/>
          <w:lang w:val="es-MX" w:eastAsia="en-US"/>
        </w:rPr>
      </w:pPr>
    </w:p>
    <w:p w:rsidR="00CC5A5B" w:rsidRPr="00CC5A5B" w:rsidRDefault="00CC5A5B" w:rsidP="00CC5A5B">
      <w:pPr>
        <w:numPr>
          <w:ilvl w:val="0"/>
          <w:numId w:val="1"/>
        </w:numPr>
        <w:spacing w:after="160" w:line="259" w:lineRule="auto"/>
        <w:contextualSpacing/>
        <w:jc w:val="both"/>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DECLARACIÓN DEL QUORUM;</w:t>
      </w:r>
    </w:p>
    <w:p w:rsidR="00CC5A5B" w:rsidRPr="00CC5A5B" w:rsidRDefault="00CC5A5B" w:rsidP="00CC5A5B">
      <w:pPr>
        <w:spacing w:after="160" w:line="259" w:lineRule="auto"/>
        <w:jc w:val="both"/>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rsidR="00CC5A5B" w:rsidRPr="00CC5A5B" w:rsidRDefault="00CC5A5B" w:rsidP="00CC5A5B">
      <w:pPr>
        <w:spacing w:after="160" w:line="259" w:lineRule="auto"/>
        <w:jc w:val="both"/>
        <w:rPr>
          <w:rFonts w:ascii="Verdana" w:eastAsia="Calibri" w:hAnsi="Verdana" w:cs="Consolas"/>
          <w:sz w:val="22"/>
          <w:szCs w:val="22"/>
          <w:lang w:val="es-MX" w:eastAsia="en-US"/>
        </w:rPr>
      </w:pPr>
    </w:p>
    <w:p w:rsidR="00CC5A5B" w:rsidRPr="00CC5A5B" w:rsidRDefault="00CC5A5B" w:rsidP="00CC5A5B">
      <w:pPr>
        <w:numPr>
          <w:ilvl w:val="0"/>
          <w:numId w:val="1"/>
        </w:numPr>
        <w:spacing w:after="160" w:line="259" w:lineRule="auto"/>
        <w:contextualSpacing/>
        <w:jc w:val="both"/>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LECTURA Y EN SU CASO, APROBACIÓN DEL ORDEN DEL DÍA</w:t>
      </w:r>
    </w:p>
    <w:p w:rsidR="00CC5A5B" w:rsidRPr="00CC5A5B" w:rsidRDefault="00CC5A5B" w:rsidP="00CC5A5B">
      <w:pPr>
        <w:spacing w:after="160" w:line="259" w:lineRule="auto"/>
        <w:jc w:val="both"/>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lastRenderedPageBreak/>
        <w:t xml:space="preserve">Se cuestiona a los asistentes si es de aprobarse el orden del día propuesto, a lo cual se accede de forma unánime, con lo que se da por desahogado dicho punto. </w:t>
      </w:r>
    </w:p>
    <w:p w:rsidR="00CC5A5B" w:rsidRPr="00CC5A5B" w:rsidRDefault="00CC5A5B" w:rsidP="00CC5A5B">
      <w:pPr>
        <w:spacing w:after="160" w:line="259" w:lineRule="auto"/>
        <w:ind w:right="899"/>
        <w:jc w:val="both"/>
        <w:rPr>
          <w:rFonts w:ascii="Verdana" w:eastAsia="Calibri" w:hAnsi="Verdana" w:cs="Consolas"/>
          <w:sz w:val="22"/>
          <w:szCs w:val="22"/>
          <w:lang w:val="es-MX" w:eastAsia="en-US"/>
        </w:rPr>
      </w:pPr>
    </w:p>
    <w:p w:rsidR="00CC5A5B" w:rsidRPr="004642FE" w:rsidRDefault="00CC5A5B" w:rsidP="00CC5A5B">
      <w:pPr>
        <w:numPr>
          <w:ilvl w:val="0"/>
          <w:numId w:val="1"/>
        </w:numPr>
        <w:spacing w:after="160" w:line="259" w:lineRule="auto"/>
        <w:ind w:right="899"/>
        <w:contextualSpacing/>
        <w:jc w:val="both"/>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APROBACIÓN, EN SU CASO, DE LA VERSI</w:t>
      </w:r>
      <w:r w:rsidR="0005324D">
        <w:rPr>
          <w:rFonts w:ascii="Verdana" w:eastAsia="Calibri" w:hAnsi="Verdana" w:cs="Consolas"/>
          <w:b/>
          <w:sz w:val="22"/>
          <w:szCs w:val="22"/>
          <w:lang w:val="es-MX" w:eastAsia="en-US"/>
        </w:rPr>
        <w:t>Ó</w:t>
      </w:r>
      <w:r w:rsidRPr="00CC5A5B">
        <w:rPr>
          <w:rFonts w:ascii="Verdana" w:eastAsia="Calibri" w:hAnsi="Verdana" w:cs="Consolas"/>
          <w:b/>
          <w:sz w:val="22"/>
          <w:szCs w:val="22"/>
          <w:lang w:val="es-MX" w:eastAsia="en-US"/>
        </w:rPr>
        <w:t>N PÚBLICA DE</w:t>
      </w:r>
      <w:r w:rsidR="0005324D">
        <w:rPr>
          <w:rFonts w:ascii="Verdana" w:eastAsia="Calibri" w:hAnsi="Verdana" w:cs="Consolas"/>
          <w:b/>
          <w:sz w:val="22"/>
          <w:szCs w:val="22"/>
          <w:lang w:val="es-MX" w:eastAsia="en-US"/>
        </w:rPr>
        <w:t xml:space="preserve">L </w:t>
      </w:r>
      <w:r w:rsidRPr="00CC5A5B">
        <w:rPr>
          <w:rFonts w:ascii="Verdana" w:eastAsia="Calibri" w:hAnsi="Verdana" w:cs="Consolas"/>
          <w:b/>
          <w:sz w:val="22"/>
          <w:szCs w:val="22"/>
          <w:lang w:val="es-MX" w:eastAsia="en-US"/>
        </w:rPr>
        <w:t>DOCUMENTO</w:t>
      </w:r>
      <w:r w:rsidR="0005324D">
        <w:rPr>
          <w:rFonts w:ascii="Verdana" w:eastAsia="Calibri" w:hAnsi="Verdana" w:cs="Consolas"/>
          <w:b/>
          <w:sz w:val="22"/>
          <w:szCs w:val="22"/>
          <w:lang w:val="es-MX" w:eastAsia="en-US"/>
        </w:rPr>
        <w:t xml:space="preserve"> QUE ACREDITA </w:t>
      </w:r>
      <w:r w:rsidRPr="00CC5A5B">
        <w:rPr>
          <w:rFonts w:ascii="Verdana" w:eastAsia="Calibri" w:hAnsi="Verdana" w:cs="Consolas"/>
          <w:b/>
          <w:sz w:val="22"/>
          <w:szCs w:val="22"/>
          <w:lang w:val="es-MX" w:eastAsia="en-US"/>
        </w:rPr>
        <w:t>LA INCAPACIDAD POR ENFERMEDAD DE LA C. MAXINNE GRANDE FERRER, REQUERIDOS VÍA INFOMEX, BAJO EL NÚMERO DE FOLIO 07833119, RELATIVO AL EXPEDIENTE SE/UTI/273/2019, DICHA SOLICITUD DIRIGIDA A LA SECRETARÍA EJECUTIVA DEL SISTEMA ANTICORRUPCION DEL ESTADO DE JALISCO.</w:t>
      </w:r>
    </w:p>
    <w:p w:rsidR="00A174BA" w:rsidRPr="00CC5A5B" w:rsidRDefault="00A174BA" w:rsidP="00A174BA">
      <w:pPr>
        <w:spacing w:after="160" w:line="259" w:lineRule="auto"/>
        <w:ind w:left="720" w:right="899"/>
        <w:contextualSpacing/>
        <w:jc w:val="both"/>
        <w:rPr>
          <w:rFonts w:ascii="Verdana" w:eastAsia="Calibri" w:hAnsi="Verdana" w:cs="Consolas"/>
          <w:b/>
          <w:sz w:val="22"/>
          <w:szCs w:val="22"/>
          <w:lang w:val="es-MX" w:eastAsia="en-US"/>
        </w:rPr>
      </w:pPr>
    </w:p>
    <w:p w:rsidR="00CC5A5B" w:rsidRPr="00CC5A5B" w:rsidRDefault="00CC5A5B" w:rsidP="00CC5A5B">
      <w:pPr>
        <w:spacing w:after="160" w:line="259" w:lineRule="auto"/>
        <w:ind w:right="-39"/>
        <w:jc w:val="both"/>
        <w:rPr>
          <w:rFonts w:ascii="Verdana" w:eastAsia="Calibri" w:hAnsi="Verdana" w:cs="Arial"/>
          <w:sz w:val="22"/>
          <w:szCs w:val="22"/>
          <w:lang w:val="es-MX" w:eastAsia="en-US"/>
        </w:rPr>
      </w:pPr>
      <w:r w:rsidRPr="00CC5A5B">
        <w:rPr>
          <w:rFonts w:ascii="Verdana" w:eastAsia="Calibri" w:hAnsi="Verdana" w:cs="Arial"/>
          <w:sz w:val="22"/>
          <w:szCs w:val="22"/>
          <w:lang w:val="es-MX" w:eastAsia="en-US"/>
        </w:rPr>
        <w:t xml:space="preserve">El secretario de este Comité expone que, el día 23 de octubre del año 2019 se admitió una solicitud de información, a las 13:04 horas, mediante el sistema electrónico </w:t>
      </w:r>
      <w:proofErr w:type="spellStart"/>
      <w:r w:rsidRPr="00CC5A5B">
        <w:rPr>
          <w:rFonts w:ascii="Verdana" w:eastAsia="Calibri" w:hAnsi="Verdana" w:cs="Arial"/>
          <w:sz w:val="22"/>
          <w:szCs w:val="22"/>
          <w:lang w:val="es-MX" w:eastAsia="en-US"/>
        </w:rPr>
        <w:t>Infomex</w:t>
      </w:r>
      <w:proofErr w:type="spellEnd"/>
      <w:r w:rsidRPr="00CC5A5B">
        <w:rPr>
          <w:rFonts w:ascii="Verdana" w:eastAsia="Calibri" w:hAnsi="Verdana" w:cs="Arial"/>
          <w:sz w:val="22"/>
          <w:szCs w:val="22"/>
          <w:lang w:val="es-MX" w:eastAsia="en-US"/>
        </w:rPr>
        <w:t>, dirigida a la Secretaría Ejecutiva del Sistema Anticorrupción del Estado de Jalisco, bajo el número de folio 07833119, a la que se le asignará el número de expediente interno, SE/UTI/273/2019, en la que se requiere textualmente lo siguiente:</w:t>
      </w:r>
    </w:p>
    <w:p w:rsidR="00CC5A5B" w:rsidRPr="00CC5A5B" w:rsidRDefault="00CC5A5B" w:rsidP="00CC5A5B">
      <w:pPr>
        <w:autoSpaceDE w:val="0"/>
        <w:autoSpaceDN w:val="0"/>
        <w:adjustRightInd w:val="0"/>
        <w:ind w:left="426" w:right="616"/>
        <w:jc w:val="both"/>
        <w:rPr>
          <w:rFonts w:ascii="Verdana" w:eastAsia="Calibri" w:hAnsi="Verdana" w:cs="Century Gothic"/>
          <w:color w:val="000000"/>
          <w:sz w:val="22"/>
          <w:szCs w:val="22"/>
          <w:lang w:val="es-MX" w:eastAsia="es-MX"/>
        </w:rPr>
      </w:pPr>
      <w:r w:rsidRPr="00CC5A5B">
        <w:rPr>
          <w:rFonts w:ascii="Century Gothic" w:eastAsia="Times New Roman" w:hAnsi="Century Gothic" w:cs="Arial"/>
          <w:i/>
          <w:color w:val="000000"/>
          <w:sz w:val="22"/>
          <w:szCs w:val="22"/>
          <w:lang w:val="es-ES"/>
        </w:rPr>
        <w:t>“</w:t>
      </w:r>
      <w:r w:rsidRPr="00CC5A5B">
        <w:rPr>
          <w:rFonts w:ascii="Verdana" w:eastAsia="Times New Roman" w:hAnsi="Verdana" w:cs="Arial"/>
          <w:i/>
          <w:color w:val="000000"/>
          <w:sz w:val="22"/>
          <w:szCs w:val="22"/>
          <w:lang w:val="es-ES"/>
        </w:rPr>
        <w:t xml:space="preserve">Documento de autorización por parte del </w:t>
      </w:r>
      <w:proofErr w:type="gramStart"/>
      <w:r w:rsidRPr="00CC5A5B">
        <w:rPr>
          <w:rFonts w:ascii="Verdana" w:eastAsia="Times New Roman" w:hAnsi="Verdana" w:cs="Arial"/>
          <w:i/>
          <w:color w:val="000000"/>
          <w:sz w:val="22"/>
          <w:szCs w:val="22"/>
          <w:lang w:val="es-ES"/>
        </w:rPr>
        <w:t>Jefe</w:t>
      </w:r>
      <w:proofErr w:type="gramEnd"/>
      <w:r w:rsidRPr="00CC5A5B">
        <w:rPr>
          <w:rFonts w:ascii="Verdana" w:eastAsia="Times New Roman" w:hAnsi="Verdana" w:cs="Arial"/>
          <w:i/>
          <w:color w:val="000000"/>
          <w:sz w:val="22"/>
          <w:szCs w:val="22"/>
          <w:lang w:val="es-ES"/>
        </w:rPr>
        <w:t xml:space="preserve"> inmediato de la C. </w:t>
      </w:r>
      <w:proofErr w:type="spellStart"/>
      <w:r w:rsidRPr="00CC5A5B">
        <w:rPr>
          <w:rFonts w:ascii="Verdana" w:eastAsia="Times New Roman" w:hAnsi="Verdana" w:cs="Arial"/>
          <w:i/>
          <w:color w:val="000000"/>
          <w:sz w:val="22"/>
          <w:szCs w:val="22"/>
          <w:lang w:val="es-ES"/>
        </w:rPr>
        <w:t>Maxinne</w:t>
      </w:r>
      <w:proofErr w:type="spellEnd"/>
      <w:r w:rsidRPr="00CC5A5B">
        <w:rPr>
          <w:rFonts w:ascii="Verdana" w:eastAsia="Times New Roman" w:hAnsi="Verdana" w:cs="Arial"/>
          <w:i/>
          <w:color w:val="000000"/>
          <w:sz w:val="22"/>
          <w:szCs w:val="22"/>
          <w:lang w:val="es-ES"/>
        </w:rPr>
        <w:t xml:space="preserve"> Grande Ferrer para ausentarse los días: 12 de agosto, 12, 13, 17, 18 y 20 de septiembre de 2019, así como el documento que acredite la incapacidad por enfermedad del 23 de septiembre al 02 de octubre de 2019” …</w:t>
      </w:r>
      <w:r w:rsidRPr="00CC5A5B">
        <w:rPr>
          <w:rFonts w:ascii="Verdana" w:eastAsia="Times New Roman" w:hAnsi="Verdana" w:cs="Arial"/>
          <w:color w:val="000000"/>
          <w:sz w:val="22"/>
          <w:szCs w:val="22"/>
          <w:lang w:val="es-ES"/>
        </w:rPr>
        <w:t xml:space="preserve"> (Sic)”.</w:t>
      </w:r>
    </w:p>
    <w:p w:rsidR="00CC5A5B" w:rsidRPr="00CC5A5B" w:rsidRDefault="00CC5A5B" w:rsidP="00CC5A5B">
      <w:pPr>
        <w:spacing w:after="160" w:line="259" w:lineRule="auto"/>
        <w:ind w:right="-39"/>
        <w:jc w:val="both"/>
        <w:rPr>
          <w:rFonts w:ascii="Verdana" w:eastAsia="Calibri" w:hAnsi="Verdana" w:cs="Arial"/>
          <w:sz w:val="22"/>
          <w:szCs w:val="22"/>
          <w:lang w:val="es-MX" w:eastAsia="en-US"/>
        </w:rPr>
      </w:pPr>
    </w:p>
    <w:p w:rsidR="00CC5A5B" w:rsidRPr="00CC5A5B" w:rsidRDefault="00CC5A5B" w:rsidP="00CC5A5B">
      <w:pPr>
        <w:spacing w:after="160" w:line="259" w:lineRule="auto"/>
        <w:ind w:right="-39"/>
        <w:jc w:val="both"/>
        <w:rPr>
          <w:rFonts w:ascii="Verdana" w:eastAsia="Calibri" w:hAnsi="Verdana" w:cs="Arial"/>
          <w:sz w:val="22"/>
          <w:szCs w:val="22"/>
          <w:lang w:val="es-MX" w:eastAsia="en-US"/>
        </w:rPr>
      </w:pPr>
      <w:r w:rsidRPr="00CC5A5B">
        <w:rPr>
          <w:rFonts w:ascii="Verdana" w:eastAsia="Calibri" w:hAnsi="Verdana" w:cs="Arial"/>
          <w:sz w:val="22"/>
          <w:szCs w:val="22"/>
          <w:lang w:val="es-MX" w:eastAsia="en-US"/>
        </w:rPr>
        <w:lastRenderedPageBreak/>
        <w:t xml:space="preserve">Es así que, con fundamento en la Ley de Transparencia y Acceso a la Información Pública del Estado de Jalisco y sus Municipios, en su artículo 21 punto 1; Lineamientos Generales para la protección de la información Confidencial y Reservada que deberán observar los Sujetos Obligados previstos en la Ley de Transparencia y Acceso a la Información Pública del Estado de Jalisco y sus Municipios; y artículos 2, fracción III y 3, fracciones IX y X de la Ley de Protección de Datos Personales en Posesión de Sujetos Obligados del Estado de Jalisco y sus Municipios, así como los Lineamientos Generales en materia de Clasificación y Desclasificación de la información, así como para la Elaboración de versiones públicas, en su lineamiento trigésimo octavo, por tratarse de información confidencial, la Lic. Martha </w:t>
      </w:r>
      <w:proofErr w:type="spellStart"/>
      <w:r w:rsidRPr="00CC5A5B">
        <w:rPr>
          <w:rFonts w:ascii="Verdana" w:eastAsia="Calibri" w:hAnsi="Verdana" w:cs="Arial"/>
          <w:sz w:val="22"/>
          <w:szCs w:val="22"/>
          <w:lang w:val="es-MX" w:eastAsia="en-US"/>
        </w:rPr>
        <w:t>Iraí</w:t>
      </w:r>
      <w:proofErr w:type="spellEnd"/>
      <w:r w:rsidRPr="00CC5A5B">
        <w:rPr>
          <w:rFonts w:ascii="Verdana" w:eastAsia="Calibri" w:hAnsi="Verdana" w:cs="Arial"/>
          <w:sz w:val="22"/>
          <w:szCs w:val="22"/>
          <w:lang w:val="es-MX" w:eastAsia="en-US"/>
        </w:rPr>
        <w:t xml:space="preserve"> Arriola Flores, Coordinadora de Administración de esta Secretaría Ejecutiva,  mediante oficio SE/CA/173/2019 remite la información solicitada por el ciudadano en versión Pública, </w:t>
      </w:r>
      <w:r w:rsidR="004642FE" w:rsidRPr="004642FE">
        <w:rPr>
          <w:rFonts w:ascii="Verdana" w:eastAsia="Calibri" w:hAnsi="Verdana" w:cs="Arial"/>
          <w:sz w:val="22"/>
          <w:szCs w:val="22"/>
          <w:lang w:val="es-MX" w:eastAsia="en-US"/>
        </w:rPr>
        <w:t xml:space="preserve">siendo un total de </w:t>
      </w:r>
      <w:r w:rsidRPr="00CC5A5B">
        <w:rPr>
          <w:rFonts w:ascii="Verdana" w:eastAsia="Calibri" w:hAnsi="Verdana" w:cs="Arial"/>
          <w:sz w:val="22"/>
          <w:szCs w:val="22"/>
          <w:lang w:val="es-MX" w:eastAsia="en-US"/>
        </w:rPr>
        <w:t xml:space="preserve"> 3 hojas útiles por una sola de sus caras, referente a</w:t>
      </w:r>
      <w:r w:rsidR="004642FE" w:rsidRPr="004642FE">
        <w:rPr>
          <w:rFonts w:ascii="Verdana" w:eastAsia="Calibri" w:hAnsi="Verdana" w:cs="Arial"/>
          <w:sz w:val="22"/>
          <w:szCs w:val="22"/>
          <w:lang w:val="es-MX" w:eastAsia="en-US"/>
        </w:rPr>
        <w:t>l</w:t>
      </w:r>
      <w:r w:rsidRPr="00CC5A5B">
        <w:rPr>
          <w:rFonts w:ascii="Verdana" w:eastAsia="Calibri" w:hAnsi="Verdana" w:cs="Arial"/>
          <w:sz w:val="22"/>
          <w:szCs w:val="22"/>
          <w:lang w:val="es-MX" w:eastAsia="en-US"/>
        </w:rPr>
        <w:t xml:space="preserve"> documento que acredita la incapacidad, toda vez que contienen datos personales, entendidos éstos como </w:t>
      </w:r>
      <w:r w:rsidRPr="00CC5A5B">
        <w:rPr>
          <w:rFonts w:ascii="Verdana" w:eastAsia="Calibri" w:hAnsi="Verdana" w:cs="Arial"/>
          <w:sz w:val="22"/>
          <w:szCs w:val="22"/>
          <w:lang w:eastAsia="en-US"/>
        </w:rPr>
        <w:t xml:space="preserve">cualquier información concerniente a una persona física identificada o identificable, considerando que, una persona es identificable cuando su identidad pueda determinarse directa o indirectamente a través de cualquier información, así como datos personales sensibles, entendiéndose estos como los que se refieren a la esfera más íntima de su titular, o cuya utilización indebida pueda dar origen a discriminación o conlleve a un </w:t>
      </w:r>
      <w:r w:rsidRPr="004642FE">
        <w:rPr>
          <w:rFonts w:ascii="Verdana" w:eastAsia="Calibri" w:hAnsi="Verdana" w:cs="Arial"/>
          <w:sz w:val="22"/>
          <w:szCs w:val="22"/>
          <w:lang w:eastAsia="en-US"/>
        </w:rPr>
        <w:t>riesgo</w:t>
      </w:r>
      <w:r w:rsidRPr="00CC5A5B">
        <w:rPr>
          <w:rFonts w:ascii="Verdana" w:eastAsia="Calibri" w:hAnsi="Verdana" w:cs="Arial"/>
          <w:sz w:val="22"/>
          <w:szCs w:val="22"/>
          <w:lang w:eastAsia="en-US"/>
        </w:rPr>
        <w:t xml:space="preserve"> grave para éste, </w:t>
      </w:r>
      <w:r w:rsidRPr="00CC5A5B">
        <w:rPr>
          <w:rFonts w:ascii="Verdana" w:eastAsia="Calibri" w:hAnsi="Verdana" w:cs="Arial"/>
          <w:sz w:val="22"/>
          <w:szCs w:val="22"/>
          <w:lang w:val="es-MX" w:eastAsia="en-US"/>
        </w:rPr>
        <w:t xml:space="preserve">según lo dispuesto por el artículo 3, fracción IX y X de la Ley de Protección de Datos Personales en Posesión de Sujetos Obligados del Estado de Jalisco y sus Municipios, y toda vez que en los documentos que acreditan la ausencia e incapacidad, contienen datos personales y datos personales sensibles, mismos que se mencionan a continuación: </w:t>
      </w:r>
    </w:p>
    <w:tbl>
      <w:tblPr>
        <w:tblStyle w:val="Tablaconcuadrcula1"/>
        <w:tblpPr w:leftFromText="141" w:rightFromText="141" w:vertAnchor="text" w:horzAnchor="margin" w:tblpXSpec="center" w:tblpY="319"/>
        <w:tblW w:w="0" w:type="auto"/>
        <w:tblLook w:val="04A0" w:firstRow="1" w:lastRow="0" w:firstColumn="1" w:lastColumn="0" w:noHBand="0" w:noVBand="1"/>
      </w:tblPr>
      <w:tblGrid>
        <w:gridCol w:w="3592"/>
        <w:gridCol w:w="3613"/>
      </w:tblGrid>
      <w:tr w:rsidR="00CC5A5B" w:rsidRPr="00CC5A5B" w:rsidTr="009D553E">
        <w:trPr>
          <w:trHeight w:val="285"/>
        </w:trPr>
        <w:tc>
          <w:tcPr>
            <w:tcW w:w="3592" w:type="dxa"/>
          </w:tcPr>
          <w:p w:rsidR="00CC5A5B" w:rsidRPr="00CC5A5B" w:rsidRDefault="00CC5A5B" w:rsidP="00CC5A5B">
            <w:pPr>
              <w:tabs>
                <w:tab w:val="left" w:pos="5080"/>
              </w:tabs>
              <w:spacing w:after="160" w:line="259" w:lineRule="auto"/>
              <w:ind w:right="-39"/>
              <w:jc w:val="both"/>
              <w:rPr>
                <w:rFonts w:eastAsia="Calibri" w:cs="Arial"/>
                <w:lang w:eastAsia="en-US"/>
              </w:rPr>
            </w:pPr>
            <w:r w:rsidRPr="00CC5A5B">
              <w:rPr>
                <w:rFonts w:eastAsia="Calibri" w:cs="Arial"/>
                <w:b/>
                <w:lang w:eastAsia="en-US"/>
              </w:rPr>
              <w:lastRenderedPageBreak/>
              <w:t>Documento</w:t>
            </w:r>
          </w:p>
        </w:tc>
        <w:tc>
          <w:tcPr>
            <w:tcW w:w="3613" w:type="dxa"/>
          </w:tcPr>
          <w:p w:rsidR="00CC5A5B" w:rsidRPr="00CC5A5B" w:rsidRDefault="00CC5A5B" w:rsidP="00CC5A5B">
            <w:pPr>
              <w:tabs>
                <w:tab w:val="left" w:pos="5080"/>
              </w:tabs>
              <w:spacing w:after="160" w:line="259" w:lineRule="auto"/>
              <w:ind w:right="-39"/>
              <w:jc w:val="both"/>
              <w:rPr>
                <w:rFonts w:eastAsia="Calibri" w:cs="Arial"/>
                <w:b/>
                <w:lang w:eastAsia="en-US"/>
              </w:rPr>
            </w:pPr>
            <w:r w:rsidRPr="00CC5A5B">
              <w:rPr>
                <w:rFonts w:eastAsia="Calibri" w:cs="Arial"/>
                <w:b/>
                <w:lang w:eastAsia="en-US"/>
              </w:rPr>
              <w:t>Dato Personal Contenido</w:t>
            </w:r>
          </w:p>
        </w:tc>
      </w:tr>
      <w:tr w:rsidR="00CC5A5B" w:rsidRPr="00CC5A5B" w:rsidTr="009D553E">
        <w:trPr>
          <w:trHeight w:val="299"/>
        </w:trPr>
        <w:tc>
          <w:tcPr>
            <w:tcW w:w="3592" w:type="dxa"/>
            <w:vMerge w:val="restart"/>
          </w:tcPr>
          <w:p w:rsidR="00CC5A5B" w:rsidRPr="00CC5A5B" w:rsidRDefault="00CC5A5B" w:rsidP="00CC5A5B">
            <w:pPr>
              <w:numPr>
                <w:ilvl w:val="0"/>
                <w:numId w:val="3"/>
              </w:numPr>
              <w:tabs>
                <w:tab w:val="left" w:pos="5080"/>
              </w:tabs>
              <w:spacing w:after="160" w:line="259" w:lineRule="auto"/>
              <w:ind w:right="-39"/>
              <w:contextualSpacing/>
              <w:jc w:val="both"/>
              <w:rPr>
                <w:rFonts w:eastAsia="Calibri" w:cs="Arial"/>
                <w:lang w:eastAsia="en-US"/>
              </w:rPr>
            </w:pPr>
            <w:r w:rsidRPr="00CC5A5B">
              <w:rPr>
                <w:rFonts w:eastAsia="Calibri" w:cs="Arial"/>
                <w:lang w:eastAsia="en-US"/>
              </w:rPr>
              <w:t>Parte médico.</w:t>
            </w:r>
          </w:p>
        </w:tc>
        <w:tc>
          <w:tcPr>
            <w:tcW w:w="3613" w:type="dxa"/>
          </w:tcPr>
          <w:p w:rsidR="00CC5A5B" w:rsidRPr="00CC5A5B" w:rsidRDefault="00CC5A5B" w:rsidP="00CC5A5B">
            <w:pPr>
              <w:tabs>
                <w:tab w:val="left" w:pos="5080"/>
              </w:tabs>
              <w:spacing w:after="160" w:line="259" w:lineRule="auto"/>
              <w:ind w:right="-39"/>
              <w:jc w:val="both"/>
              <w:rPr>
                <w:rFonts w:eastAsia="Calibri" w:cs="Arial"/>
                <w:lang w:eastAsia="en-US"/>
              </w:rPr>
            </w:pPr>
            <w:r w:rsidRPr="00CC5A5B">
              <w:rPr>
                <w:rFonts w:eastAsia="Calibri" w:cs="Arial"/>
                <w:lang w:eastAsia="en-US"/>
              </w:rPr>
              <w:t>Edad</w:t>
            </w:r>
          </w:p>
        </w:tc>
      </w:tr>
      <w:tr w:rsidR="00CC5A5B" w:rsidRPr="00CC5A5B" w:rsidTr="009D553E">
        <w:trPr>
          <w:trHeight w:val="299"/>
        </w:trPr>
        <w:tc>
          <w:tcPr>
            <w:tcW w:w="3592" w:type="dxa"/>
            <w:vMerge/>
          </w:tcPr>
          <w:p w:rsidR="00CC5A5B" w:rsidRPr="00CC5A5B" w:rsidRDefault="00CC5A5B" w:rsidP="00CC5A5B">
            <w:pPr>
              <w:tabs>
                <w:tab w:val="left" w:pos="5080"/>
              </w:tabs>
              <w:spacing w:after="160" w:line="259" w:lineRule="auto"/>
              <w:ind w:right="-39"/>
              <w:jc w:val="both"/>
              <w:rPr>
                <w:rFonts w:eastAsia="Calibri" w:cs="Arial"/>
                <w:lang w:eastAsia="en-US"/>
              </w:rPr>
            </w:pPr>
          </w:p>
        </w:tc>
        <w:tc>
          <w:tcPr>
            <w:tcW w:w="3613" w:type="dxa"/>
          </w:tcPr>
          <w:p w:rsidR="00CC5A5B" w:rsidRPr="00CC5A5B" w:rsidRDefault="00CC5A5B" w:rsidP="00CC5A5B">
            <w:pPr>
              <w:tabs>
                <w:tab w:val="left" w:pos="5080"/>
              </w:tabs>
              <w:spacing w:after="160" w:line="259" w:lineRule="auto"/>
              <w:ind w:right="-39"/>
              <w:jc w:val="both"/>
              <w:rPr>
                <w:rFonts w:eastAsia="Calibri" w:cs="Consolas"/>
                <w:i/>
                <w:lang w:eastAsia="en-US"/>
              </w:rPr>
            </w:pPr>
            <w:r w:rsidRPr="00CC5A5B">
              <w:rPr>
                <w:rFonts w:eastAsia="Calibri" w:cs="Consolas"/>
                <w:i/>
                <w:lang w:eastAsia="en-US"/>
              </w:rPr>
              <w:t xml:space="preserve">Medicamento prescrito </w:t>
            </w:r>
          </w:p>
        </w:tc>
      </w:tr>
      <w:tr w:rsidR="00CC5A5B" w:rsidRPr="00CC5A5B" w:rsidTr="009D553E">
        <w:trPr>
          <w:trHeight w:val="314"/>
        </w:trPr>
        <w:tc>
          <w:tcPr>
            <w:tcW w:w="3592" w:type="dxa"/>
            <w:vMerge/>
          </w:tcPr>
          <w:p w:rsidR="00CC5A5B" w:rsidRPr="00CC5A5B" w:rsidRDefault="00CC5A5B" w:rsidP="00CC5A5B">
            <w:pPr>
              <w:tabs>
                <w:tab w:val="left" w:pos="5080"/>
              </w:tabs>
              <w:spacing w:after="160" w:line="259" w:lineRule="auto"/>
              <w:ind w:right="-39"/>
              <w:jc w:val="both"/>
              <w:rPr>
                <w:rFonts w:eastAsia="Calibri" w:cs="Arial"/>
                <w:lang w:eastAsia="en-US"/>
              </w:rPr>
            </w:pPr>
          </w:p>
        </w:tc>
        <w:tc>
          <w:tcPr>
            <w:tcW w:w="3613" w:type="dxa"/>
          </w:tcPr>
          <w:p w:rsidR="00CC5A5B" w:rsidRPr="00CC5A5B" w:rsidRDefault="00CC5A5B" w:rsidP="00CC5A5B">
            <w:pPr>
              <w:tabs>
                <w:tab w:val="left" w:pos="5080"/>
              </w:tabs>
              <w:spacing w:after="160" w:line="259" w:lineRule="auto"/>
              <w:ind w:right="-39"/>
              <w:jc w:val="both"/>
              <w:rPr>
                <w:rFonts w:eastAsia="Calibri" w:cs="Consolas"/>
                <w:i/>
                <w:lang w:eastAsia="en-US"/>
              </w:rPr>
            </w:pPr>
            <w:r w:rsidRPr="00CC5A5B">
              <w:rPr>
                <w:rFonts w:eastAsia="Calibri" w:cs="Consolas"/>
                <w:i/>
                <w:lang w:eastAsia="en-US"/>
              </w:rPr>
              <w:t>Dosis del medicamento</w:t>
            </w:r>
          </w:p>
        </w:tc>
      </w:tr>
      <w:tr w:rsidR="00CC5A5B" w:rsidRPr="00CC5A5B" w:rsidTr="009D553E">
        <w:trPr>
          <w:trHeight w:val="299"/>
        </w:trPr>
        <w:tc>
          <w:tcPr>
            <w:tcW w:w="3592" w:type="dxa"/>
            <w:vMerge/>
          </w:tcPr>
          <w:p w:rsidR="00CC5A5B" w:rsidRPr="00CC5A5B" w:rsidRDefault="00CC5A5B" w:rsidP="00CC5A5B">
            <w:pPr>
              <w:tabs>
                <w:tab w:val="left" w:pos="5080"/>
              </w:tabs>
              <w:spacing w:after="160" w:line="259" w:lineRule="auto"/>
              <w:ind w:right="-39"/>
              <w:jc w:val="both"/>
              <w:rPr>
                <w:rFonts w:eastAsia="Calibri" w:cs="Arial"/>
                <w:lang w:eastAsia="en-US"/>
              </w:rPr>
            </w:pPr>
          </w:p>
        </w:tc>
        <w:tc>
          <w:tcPr>
            <w:tcW w:w="3613" w:type="dxa"/>
          </w:tcPr>
          <w:p w:rsidR="00CC5A5B" w:rsidRPr="00CC5A5B" w:rsidRDefault="00CC5A5B" w:rsidP="00CC5A5B">
            <w:pPr>
              <w:tabs>
                <w:tab w:val="left" w:pos="5080"/>
              </w:tabs>
              <w:spacing w:after="160" w:line="259" w:lineRule="auto"/>
              <w:ind w:right="-39"/>
              <w:jc w:val="both"/>
              <w:rPr>
                <w:rFonts w:eastAsia="Calibri" w:cs="Consolas"/>
                <w:i/>
                <w:lang w:eastAsia="en-US"/>
              </w:rPr>
            </w:pPr>
            <w:r w:rsidRPr="00CC5A5B">
              <w:rPr>
                <w:rFonts w:eastAsia="Calibri" w:cs="Consolas"/>
                <w:i/>
                <w:lang w:eastAsia="en-US"/>
              </w:rPr>
              <w:t>Frecuencia del medicamento</w:t>
            </w:r>
          </w:p>
        </w:tc>
      </w:tr>
      <w:tr w:rsidR="00CC5A5B" w:rsidRPr="00CC5A5B" w:rsidTr="009D553E">
        <w:trPr>
          <w:trHeight w:val="299"/>
        </w:trPr>
        <w:tc>
          <w:tcPr>
            <w:tcW w:w="3592" w:type="dxa"/>
            <w:vMerge/>
          </w:tcPr>
          <w:p w:rsidR="00CC5A5B" w:rsidRPr="00CC5A5B" w:rsidRDefault="00CC5A5B" w:rsidP="00CC5A5B">
            <w:pPr>
              <w:tabs>
                <w:tab w:val="left" w:pos="5080"/>
              </w:tabs>
              <w:spacing w:after="160" w:line="259" w:lineRule="auto"/>
              <w:ind w:right="-39"/>
              <w:jc w:val="both"/>
              <w:rPr>
                <w:rFonts w:eastAsia="Calibri" w:cs="Arial"/>
                <w:lang w:eastAsia="en-US"/>
              </w:rPr>
            </w:pPr>
          </w:p>
        </w:tc>
        <w:tc>
          <w:tcPr>
            <w:tcW w:w="3613" w:type="dxa"/>
          </w:tcPr>
          <w:p w:rsidR="00CC5A5B" w:rsidRPr="00CC5A5B" w:rsidRDefault="00CC5A5B" w:rsidP="00CC5A5B">
            <w:pPr>
              <w:tabs>
                <w:tab w:val="left" w:pos="5080"/>
              </w:tabs>
              <w:spacing w:after="160" w:line="259" w:lineRule="auto"/>
              <w:ind w:right="-39"/>
              <w:jc w:val="both"/>
              <w:rPr>
                <w:rFonts w:eastAsia="Calibri" w:cs="Consolas"/>
                <w:i/>
                <w:lang w:eastAsia="en-US"/>
              </w:rPr>
            </w:pPr>
            <w:r w:rsidRPr="00CC5A5B">
              <w:rPr>
                <w:rFonts w:eastAsia="Calibri" w:cs="Consolas"/>
                <w:i/>
                <w:lang w:eastAsia="en-US"/>
              </w:rPr>
              <w:t xml:space="preserve">Duración del medicamento </w:t>
            </w:r>
          </w:p>
        </w:tc>
      </w:tr>
      <w:tr w:rsidR="00CC5A5B" w:rsidRPr="00CC5A5B" w:rsidTr="009D553E">
        <w:trPr>
          <w:trHeight w:val="510"/>
        </w:trPr>
        <w:tc>
          <w:tcPr>
            <w:tcW w:w="3592" w:type="dxa"/>
            <w:vMerge/>
          </w:tcPr>
          <w:p w:rsidR="00CC5A5B" w:rsidRPr="00CC5A5B" w:rsidRDefault="00CC5A5B" w:rsidP="00CC5A5B">
            <w:pPr>
              <w:tabs>
                <w:tab w:val="left" w:pos="5080"/>
              </w:tabs>
              <w:spacing w:after="160" w:line="259" w:lineRule="auto"/>
              <w:ind w:right="-39"/>
              <w:jc w:val="both"/>
              <w:rPr>
                <w:rFonts w:eastAsia="Calibri" w:cs="Arial"/>
                <w:lang w:eastAsia="en-US"/>
              </w:rPr>
            </w:pPr>
          </w:p>
        </w:tc>
        <w:tc>
          <w:tcPr>
            <w:tcW w:w="3613" w:type="dxa"/>
          </w:tcPr>
          <w:p w:rsidR="00CC5A5B" w:rsidRPr="00CC5A5B" w:rsidRDefault="00CC5A5B" w:rsidP="00CC5A5B">
            <w:pPr>
              <w:tabs>
                <w:tab w:val="left" w:pos="5080"/>
              </w:tabs>
              <w:spacing w:after="160" w:line="259" w:lineRule="auto"/>
              <w:ind w:right="-39"/>
              <w:jc w:val="both"/>
              <w:rPr>
                <w:rFonts w:eastAsia="Calibri" w:cs="Consolas"/>
                <w:i/>
                <w:lang w:eastAsia="en-US"/>
              </w:rPr>
            </w:pPr>
            <w:r w:rsidRPr="00CC5A5B">
              <w:rPr>
                <w:rFonts w:eastAsia="Calibri" w:cs="Consolas"/>
                <w:i/>
                <w:lang w:eastAsia="en-US"/>
              </w:rPr>
              <w:t>D</w:t>
            </w:r>
            <w:r w:rsidR="0005324D">
              <w:rPr>
                <w:rFonts w:eastAsia="Calibri" w:cs="Consolas"/>
                <w:i/>
                <w:lang w:eastAsia="en-US"/>
              </w:rPr>
              <w:t>i</w:t>
            </w:r>
            <w:r w:rsidRPr="00CC5A5B">
              <w:rPr>
                <w:rFonts w:eastAsia="Calibri" w:cs="Consolas"/>
                <w:i/>
                <w:lang w:eastAsia="en-US"/>
              </w:rPr>
              <w:t>agn</w:t>
            </w:r>
            <w:r w:rsidR="0005324D">
              <w:rPr>
                <w:rFonts w:eastAsia="Calibri" w:cs="Consolas"/>
                <w:i/>
                <w:lang w:eastAsia="en-US"/>
              </w:rPr>
              <w:t>ó</w:t>
            </w:r>
            <w:r w:rsidRPr="00CC5A5B">
              <w:rPr>
                <w:rFonts w:eastAsia="Calibri" w:cs="Consolas"/>
                <w:i/>
                <w:lang w:eastAsia="en-US"/>
              </w:rPr>
              <w:t xml:space="preserve">stico  </w:t>
            </w:r>
          </w:p>
        </w:tc>
      </w:tr>
      <w:tr w:rsidR="00CC5A5B" w:rsidRPr="00CC5A5B" w:rsidTr="009D553E">
        <w:trPr>
          <w:trHeight w:val="510"/>
        </w:trPr>
        <w:tc>
          <w:tcPr>
            <w:tcW w:w="3592" w:type="dxa"/>
            <w:vMerge/>
          </w:tcPr>
          <w:p w:rsidR="00CC5A5B" w:rsidRPr="00CC5A5B" w:rsidRDefault="00CC5A5B" w:rsidP="00CC5A5B">
            <w:pPr>
              <w:tabs>
                <w:tab w:val="left" w:pos="5080"/>
              </w:tabs>
              <w:spacing w:after="160" w:line="259" w:lineRule="auto"/>
              <w:ind w:right="-39"/>
              <w:jc w:val="both"/>
              <w:rPr>
                <w:rFonts w:eastAsia="Calibri" w:cs="Arial"/>
                <w:lang w:eastAsia="en-US"/>
              </w:rPr>
            </w:pPr>
          </w:p>
        </w:tc>
        <w:tc>
          <w:tcPr>
            <w:tcW w:w="3613" w:type="dxa"/>
          </w:tcPr>
          <w:p w:rsidR="00CC5A5B" w:rsidRPr="00CC5A5B" w:rsidRDefault="00CC5A5B" w:rsidP="00CC5A5B">
            <w:pPr>
              <w:tabs>
                <w:tab w:val="left" w:pos="5080"/>
              </w:tabs>
              <w:spacing w:after="160" w:line="259" w:lineRule="auto"/>
              <w:ind w:right="-39"/>
              <w:jc w:val="both"/>
              <w:rPr>
                <w:rFonts w:eastAsia="Calibri" w:cs="Consolas"/>
                <w:i/>
                <w:lang w:eastAsia="en-US"/>
              </w:rPr>
            </w:pPr>
            <w:r w:rsidRPr="00CC5A5B">
              <w:rPr>
                <w:rFonts w:eastAsia="Calibri" w:cs="Consolas"/>
                <w:i/>
                <w:lang w:eastAsia="en-US"/>
              </w:rPr>
              <w:t xml:space="preserve">Firma del doctor </w:t>
            </w:r>
          </w:p>
        </w:tc>
      </w:tr>
    </w:tbl>
    <w:p w:rsidR="00CC5A5B" w:rsidRPr="00CC5A5B" w:rsidRDefault="00CC5A5B" w:rsidP="00CC5A5B">
      <w:pPr>
        <w:tabs>
          <w:tab w:val="left" w:pos="5080"/>
        </w:tabs>
        <w:spacing w:after="160" w:line="259" w:lineRule="auto"/>
        <w:ind w:right="-39"/>
        <w:jc w:val="both"/>
        <w:rPr>
          <w:rFonts w:ascii="Verdana" w:eastAsia="Calibri" w:hAnsi="Verdana" w:cs="Arial"/>
          <w:sz w:val="22"/>
          <w:szCs w:val="22"/>
          <w:lang w:val="es-MX" w:eastAsia="en-US"/>
        </w:rPr>
      </w:pPr>
      <w:r w:rsidRPr="00CC5A5B">
        <w:rPr>
          <w:rFonts w:ascii="Verdana" w:eastAsia="Calibri" w:hAnsi="Verdana" w:cs="Arial"/>
          <w:sz w:val="22"/>
          <w:szCs w:val="22"/>
          <w:lang w:val="es-MX" w:eastAsia="en-US"/>
        </w:rPr>
        <w:tab/>
      </w:r>
    </w:p>
    <w:p w:rsidR="00CC5A5B" w:rsidRPr="00CC5A5B" w:rsidRDefault="00CC5A5B" w:rsidP="00CC5A5B">
      <w:pPr>
        <w:tabs>
          <w:tab w:val="left" w:pos="5080"/>
        </w:tabs>
        <w:spacing w:after="160" w:line="259" w:lineRule="auto"/>
        <w:ind w:right="-39"/>
        <w:jc w:val="both"/>
        <w:rPr>
          <w:rFonts w:ascii="Verdana" w:eastAsia="Calibri" w:hAnsi="Verdana" w:cs="Arial"/>
          <w:sz w:val="22"/>
          <w:szCs w:val="22"/>
          <w:lang w:val="es-MX" w:eastAsia="en-US"/>
        </w:rPr>
      </w:pPr>
    </w:p>
    <w:p w:rsidR="00CC5A5B" w:rsidRPr="00CC5A5B" w:rsidRDefault="00CC5A5B" w:rsidP="00CC5A5B">
      <w:pPr>
        <w:tabs>
          <w:tab w:val="left" w:pos="5080"/>
        </w:tabs>
        <w:spacing w:after="160" w:line="259" w:lineRule="auto"/>
        <w:ind w:right="-39"/>
        <w:jc w:val="both"/>
        <w:rPr>
          <w:rFonts w:ascii="Verdana" w:eastAsia="Calibri" w:hAnsi="Verdana" w:cs="Arial"/>
          <w:sz w:val="22"/>
          <w:szCs w:val="22"/>
          <w:lang w:val="es-MX" w:eastAsia="en-US"/>
        </w:rPr>
      </w:pPr>
    </w:p>
    <w:p w:rsidR="00CC5A5B" w:rsidRPr="00CC5A5B" w:rsidRDefault="00CC5A5B" w:rsidP="00CC5A5B">
      <w:pPr>
        <w:spacing w:after="160" w:line="259" w:lineRule="auto"/>
        <w:ind w:right="-39"/>
        <w:jc w:val="both"/>
        <w:rPr>
          <w:rFonts w:ascii="Verdana" w:eastAsia="Calibri" w:hAnsi="Verdana" w:cs="Arial"/>
          <w:sz w:val="22"/>
          <w:szCs w:val="22"/>
          <w:lang w:val="es-MX" w:eastAsia="en-US"/>
        </w:rPr>
      </w:pPr>
    </w:p>
    <w:p w:rsidR="00CC5A5B" w:rsidRPr="00CC5A5B" w:rsidRDefault="00CC5A5B" w:rsidP="00CC5A5B">
      <w:pPr>
        <w:tabs>
          <w:tab w:val="left" w:pos="180"/>
        </w:tabs>
        <w:autoSpaceDE w:val="0"/>
        <w:autoSpaceDN w:val="0"/>
        <w:adjustRightInd w:val="0"/>
        <w:spacing w:line="240" w:lineRule="atLeast"/>
        <w:jc w:val="both"/>
        <w:rPr>
          <w:rFonts w:ascii="Verdana" w:eastAsia="Times New Roman" w:hAnsi="Verdana" w:cs="Arial"/>
          <w:sz w:val="22"/>
          <w:szCs w:val="22"/>
          <w:lang w:val="es-ES"/>
        </w:rPr>
      </w:pPr>
    </w:p>
    <w:p w:rsidR="00CC5A5B" w:rsidRPr="00CC5A5B" w:rsidRDefault="00CC5A5B" w:rsidP="00CC5A5B">
      <w:pPr>
        <w:tabs>
          <w:tab w:val="left" w:pos="180"/>
        </w:tabs>
        <w:autoSpaceDE w:val="0"/>
        <w:autoSpaceDN w:val="0"/>
        <w:adjustRightInd w:val="0"/>
        <w:spacing w:line="240" w:lineRule="atLeast"/>
        <w:jc w:val="both"/>
        <w:rPr>
          <w:rFonts w:ascii="Verdana" w:eastAsia="Times New Roman" w:hAnsi="Verdana" w:cs="Arial"/>
          <w:sz w:val="22"/>
          <w:szCs w:val="22"/>
          <w:lang w:val="es-ES"/>
        </w:rPr>
      </w:pPr>
    </w:p>
    <w:p w:rsidR="00CC5A5B" w:rsidRPr="00CC5A5B" w:rsidRDefault="00CC5A5B" w:rsidP="00CC5A5B">
      <w:pPr>
        <w:tabs>
          <w:tab w:val="left" w:pos="180"/>
        </w:tabs>
        <w:autoSpaceDE w:val="0"/>
        <w:autoSpaceDN w:val="0"/>
        <w:adjustRightInd w:val="0"/>
        <w:spacing w:line="240" w:lineRule="atLeast"/>
        <w:jc w:val="both"/>
        <w:rPr>
          <w:rFonts w:ascii="Verdana" w:eastAsia="Times New Roman" w:hAnsi="Verdana" w:cs="Arial"/>
          <w:sz w:val="22"/>
          <w:szCs w:val="22"/>
          <w:lang w:val="es-ES"/>
        </w:rPr>
      </w:pPr>
    </w:p>
    <w:p w:rsidR="00CC5A5B" w:rsidRPr="00CC5A5B" w:rsidRDefault="00CC5A5B" w:rsidP="00CC5A5B">
      <w:pPr>
        <w:tabs>
          <w:tab w:val="left" w:pos="180"/>
        </w:tabs>
        <w:autoSpaceDE w:val="0"/>
        <w:autoSpaceDN w:val="0"/>
        <w:adjustRightInd w:val="0"/>
        <w:spacing w:line="240" w:lineRule="atLeast"/>
        <w:jc w:val="both"/>
        <w:rPr>
          <w:rFonts w:ascii="Verdana" w:eastAsia="Times New Roman" w:hAnsi="Verdana" w:cs="Arial"/>
          <w:sz w:val="22"/>
          <w:szCs w:val="22"/>
          <w:lang w:val="es-ES"/>
        </w:rPr>
      </w:pPr>
    </w:p>
    <w:p w:rsidR="00CC5A5B" w:rsidRPr="00CC5A5B" w:rsidRDefault="00CC5A5B" w:rsidP="00CC5A5B">
      <w:pPr>
        <w:tabs>
          <w:tab w:val="left" w:pos="180"/>
        </w:tabs>
        <w:autoSpaceDE w:val="0"/>
        <w:autoSpaceDN w:val="0"/>
        <w:adjustRightInd w:val="0"/>
        <w:spacing w:line="240" w:lineRule="atLeast"/>
        <w:jc w:val="both"/>
        <w:rPr>
          <w:rFonts w:ascii="Verdana" w:eastAsia="Times New Roman" w:hAnsi="Verdana" w:cs="Arial"/>
          <w:sz w:val="22"/>
          <w:szCs w:val="22"/>
          <w:lang w:val="es-ES"/>
        </w:rPr>
      </w:pPr>
      <w:r w:rsidRPr="00CC5A5B">
        <w:rPr>
          <w:rFonts w:ascii="Verdana" w:eastAsia="Times New Roman" w:hAnsi="Verdana" w:cs="Arial"/>
          <w:sz w:val="22"/>
          <w:szCs w:val="22"/>
          <w:lang w:val="es-ES"/>
        </w:rPr>
        <w:tab/>
      </w:r>
    </w:p>
    <w:p w:rsidR="00CC5A5B" w:rsidRPr="00CC5A5B" w:rsidRDefault="00CC5A5B" w:rsidP="00CC5A5B">
      <w:pPr>
        <w:tabs>
          <w:tab w:val="left" w:pos="180"/>
        </w:tabs>
        <w:autoSpaceDE w:val="0"/>
        <w:autoSpaceDN w:val="0"/>
        <w:adjustRightInd w:val="0"/>
        <w:spacing w:line="240" w:lineRule="atLeast"/>
        <w:jc w:val="both"/>
        <w:rPr>
          <w:rFonts w:ascii="Verdana" w:eastAsia="Times New Roman" w:hAnsi="Verdana" w:cs="Arial"/>
          <w:sz w:val="22"/>
          <w:szCs w:val="22"/>
          <w:lang w:val="es-ES"/>
        </w:rPr>
      </w:pPr>
    </w:p>
    <w:p w:rsidR="00CC5A5B" w:rsidRPr="00CC5A5B" w:rsidRDefault="00CC5A5B" w:rsidP="00CC5A5B">
      <w:pPr>
        <w:tabs>
          <w:tab w:val="left" w:pos="180"/>
        </w:tabs>
        <w:autoSpaceDE w:val="0"/>
        <w:autoSpaceDN w:val="0"/>
        <w:adjustRightInd w:val="0"/>
        <w:spacing w:line="240" w:lineRule="atLeast"/>
        <w:jc w:val="both"/>
        <w:rPr>
          <w:rFonts w:ascii="Verdana" w:eastAsia="Times New Roman" w:hAnsi="Verdana" w:cs="Arial"/>
          <w:sz w:val="22"/>
          <w:szCs w:val="22"/>
          <w:lang w:val="es-ES"/>
        </w:rPr>
      </w:pPr>
    </w:p>
    <w:p w:rsidR="00CC5A5B" w:rsidRPr="00CC5A5B" w:rsidRDefault="00CC5A5B" w:rsidP="00CC5A5B">
      <w:pPr>
        <w:tabs>
          <w:tab w:val="left" w:pos="180"/>
        </w:tabs>
        <w:autoSpaceDE w:val="0"/>
        <w:autoSpaceDN w:val="0"/>
        <w:adjustRightInd w:val="0"/>
        <w:spacing w:line="240" w:lineRule="atLeast"/>
        <w:jc w:val="both"/>
        <w:rPr>
          <w:rFonts w:ascii="Verdana" w:eastAsia="Times New Roman" w:hAnsi="Verdana" w:cs="Arial"/>
          <w:sz w:val="22"/>
          <w:szCs w:val="22"/>
          <w:lang w:val="es-ES"/>
        </w:rPr>
      </w:pPr>
    </w:p>
    <w:p w:rsidR="00E615CB" w:rsidRPr="004642FE" w:rsidRDefault="00E615CB" w:rsidP="00CC5A5B">
      <w:pPr>
        <w:tabs>
          <w:tab w:val="left" w:pos="180"/>
        </w:tabs>
        <w:autoSpaceDE w:val="0"/>
        <w:autoSpaceDN w:val="0"/>
        <w:adjustRightInd w:val="0"/>
        <w:spacing w:line="240" w:lineRule="atLeast"/>
        <w:jc w:val="both"/>
        <w:rPr>
          <w:rFonts w:ascii="Verdana" w:eastAsia="Calibri" w:hAnsi="Verdana" w:cs="Arial"/>
          <w:sz w:val="22"/>
          <w:szCs w:val="22"/>
          <w:lang w:val="es-MX" w:eastAsia="en-US"/>
        </w:rPr>
      </w:pPr>
    </w:p>
    <w:p w:rsidR="00E615CB" w:rsidRPr="004642FE" w:rsidRDefault="00E615CB" w:rsidP="00CC5A5B">
      <w:pPr>
        <w:tabs>
          <w:tab w:val="left" w:pos="180"/>
        </w:tabs>
        <w:autoSpaceDE w:val="0"/>
        <w:autoSpaceDN w:val="0"/>
        <w:adjustRightInd w:val="0"/>
        <w:spacing w:line="240" w:lineRule="atLeast"/>
        <w:jc w:val="both"/>
        <w:rPr>
          <w:rFonts w:ascii="Verdana" w:eastAsia="Calibri" w:hAnsi="Verdana" w:cs="Arial"/>
          <w:sz w:val="22"/>
          <w:szCs w:val="22"/>
          <w:lang w:val="es-MX" w:eastAsia="en-US"/>
        </w:rPr>
      </w:pPr>
    </w:p>
    <w:p w:rsidR="00E615CB" w:rsidRPr="004642FE" w:rsidRDefault="00E615CB" w:rsidP="00CC5A5B">
      <w:pPr>
        <w:tabs>
          <w:tab w:val="left" w:pos="180"/>
        </w:tabs>
        <w:autoSpaceDE w:val="0"/>
        <w:autoSpaceDN w:val="0"/>
        <w:adjustRightInd w:val="0"/>
        <w:spacing w:line="240" w:lineRule="atLeast"/>
        <w:jc w:val="both"/>
        <w:rPr>
          <w:rFonts w:ascii="Verdana" w:eastAsia="Calibri" w:hAnsi="Verdana" w:cs="Arial"/>
          <w:sz w:val="22"/>
          <w:szCs w:val="22"/>
          <w:lang w:val="es-MX" w:eastAsia="en-US"/>
        </w:rPr>
      </w:pPr>
    </w:p>
    <w:p w:rsidR="00CC5A5B" w:rsidRPr="00CC5A5B" w:rsidRDefault="00CC5A5B" w:rsidP="00CC5A5B">
      <w:pPr>
        <w:tabs>
          <w:tab w:val="left" w:pos="180"/>
        </w:tabs>
        <w:autoSpaceDE w:val="0"/>
        <w:autoSpaceDN w:val="0"/>
        <w:adjustRightInd w:val="0"/>
        <w:spacing w:line="240" w:lineRule="atLeast"/>
        <w:jc w:val="both"/>
        <w:rPr>
          <w:rFonts w:ascii="Verdana" w:eastAsia="Times New Roman" w:hAnsi="Verdana" w:cs="Arial"/>
          <w:sz w:val="22"/>
          <w:szCs w:val="22"/>
          <w:lang w:val="es-ES"/>
        </w:rPr>
      </w:pPr>
      <w:r w:rsidRPr="00CC5A5B">
        <w:rPr>
          <w:rFonts w:ascii="Verdana" w:eastAsia="Calibri" w:hAnsi="Verdana" w:cs="Arial"/>
          <w:sz w:val="22"/>
          <w:szCs w:val="22"/>
          <w:lang w:val="es-MX" w:eastAsia="en-US"/>
        </w:rPr>
        <w:t>Analizado lo anterior, y como se desprende de lo relacionado con antelación, toda vez</w:t>
      </w:r>
      <w:r w:rsidRPr="00CC5A5B">
        <w:rPr>
          <w:rFonts w:ascii="Verdana" w:eastAsia="Times New Roman" w:hAnsi="Verdana" w:cs="Arial"/>
          <w:sz w:val="22"/>
          <w:szCs w:val="22"/>
          <w:lang w:val="es-ES"/>
        </w:rPr>
        <w:t xml:space="preserve"> que </w:t>
      </w:r>
      <w:r w:rsidR="004642FE" w:rsidRPr="004642FE">
        <w:rPr>
          <w:rFonts w:ascii="Verdana" w:eastAsia="Times New Roman" w:hAnsi="Verdana" w:cs="Arial"/>
          <w:sz w:val="22"/>
          <w:szCs w:val="22"/>
          <w:lang w:val="es-ES"/>
        </w:rPr>
        <w:t>el</w:t>
      </w:r>
      <w:r w:rsidRPr="00CC5A5B">
        <w:rPr>
          <w:rFonts w:ascii="Verdana" w:eastAsia="Times New Roman" w:hAnsi="Verdana" w:cs="Arial"/>
          <w:sz w:val="22"/>
          <w:szCs w:val="22"/>
          <w:lang w:val="es-ES"/>
        </w:rPr>
        <w:t xml:space="preserve"> documento antes señalado,</w:t>
      </w:r>
      <w:r w:rsidRPr="00CC5A5B">
        <w:rPr>
          <w:rFonts w:ascii="Verdana" w:eastAsia="Calibri" w:hAnsi="Verdana" w:cs="Arial"/>
          <w:color w:val="000000"/>
          <w:sz w:val="22"/>
          <w:szCs w:val="22"/>
          <w:lang w:val="es-MX" w:eastAsia="en-US"/>
        </w:rPr>
        <w:t xml:space="preserve"> contienen datos personales, catalogados como tales, por el artículo 3 fracción IX y X </w:t>
      </w:r>
      <w:r w:rsidRPr="00CC5A5B">
        <w:rPr>
          <w:rFonts w:ascii="Verdana" w:eastAsia="Calibri" w:hAnsi="Verdana" w:cs="Arial"/>
          <w:sz w:val="22"/>
          <w:szCs w:val="22"/>
          <w:lang w:val="es-MX" w:eastAsia="en-US"/>
        </w:rPr>
        <w:t>de la Ley</w:t>
      </w:r>
      <w:r w:rsidR="0087617F" w:rsidRPr="004642FE">
        <w:rPr>
          <w:rFonts w:ascii="Verdana" w:eastAsia="Calibri" w:hAnsi="Verdana" w:cs="Arial"/>
          <w:sz w:val="22"/>
          <w:szCs w:val="22"/>
          <w:lang w:val="es-MX" w:eastAsia="en-US"/>
        </w:rPr>
        <w:t xml:space="preserve"> que rige la materia</w:t>
      </w:r>
      <w:r w:rsidRPr="00CC5A5B">
        <w:rPr>
          <w:rFonts w:ascii="Verdana" w:eastAsia="Calibri" w:hAnsi="Verdana" w:cs="Arial"/>
          <w:sz w:val="22"/>
          <w:szCs w:val="22"/>
          <w:lang w:val="es-MX" w:eastAsia="en-US"/>
        </w:rPr>
        <w:t>,</w:t>
      </w:r>
      <w:r w:rsidRPr="00CC5A5B">
        <w:rPr>
          <w:rFonts w:ascii="Verdana" w:eastAsia="Calibri" w:hAnsi="Verdana" w:cs="Arial"/>
          <w:color w:val="000000"/>
          <w:sz w:val="22"/>
          <w:szCs w:val="22"/>
          <w:lang w:val="es-MX" w:eastAsia="en-US"/>
        </w:rPr>
        <w:t xml:space="preserve"> en relación con el Lineamiento Quincuagésimo Octavo de los Lineamientos Generales para la Protección de la Información Confidencial y Reservada</w:t>
      </w:r>
      <w:r w:rsidR="00FF194A" w:rsidRPr="004642FE">
        <w:rPr>
          <w:rFonts w:ascii="Verdana" w:eastAsia="Calibri" w:hAnsi="Verdana" w:cs="Arial"/>
          <w:color w:val="000000"/>
          <w:sz w:val="22"/>
          <w:szCs w:val="22"/>
          <w:lang w:val="es-MX" w:eastAsia="en-US"/>
        </w:rPr>
        <w:t xml:space="preserve"> </w:t>
      </w:r>
      <w:r w:rsidR="00FF194A" w:rsidRPr="00CC5A5B">
        <w:rPr>
          <w:rFonts w:ascii="Verdana" w:eastAsia="Calibri" w:hAnsi="Verdana" w:cs="Arial"/>
          <w:color w:val="000000"/>
          <w:sz w:val="22"/>
          <w:szCs w:val="22"/>
          <w:lang w:val="es-MX" w:eastAsia="en-US"/>
        </w:rPr>
        <w:t xml:space="preserve">que deberán observar los sujetos obligados previstos en </w:t>
      </w:r>
      <w:r w:rsidR="00FF194A" w:rsidRPr="00CC5A5B">
        <w:rPr>
          <w:rFonts w:ascii="Verdana" w:eastAsia="Calibri" w:hAnsi="Verdana" w:cs="Arial"/>
          <w:color w:val="000000"/>
          <w:sz w:val="22"/>
          <w:szCs w:val="22"/>
          <w:lang w:val="es-MX" w:eastAsia="en-US"/>
        </w:rPr>
        <w:lastRenderedPageBreak/>
        <w:t>el ordenamiento legal antes citado</w:t>
      </w:r>
      <w:r w:rsidR="0087617F" w:rsidRPr="00CC5A5B">
        <w:rPr>
          <w:rFonts w:ascii="Verdana" w:eastAsia="Calibri" w:hAnsi="Verdana" w:cs="Arial"/>
          <w:sz w:val="22"/>
          <w:szCs w:val="22"/>
          <w:lang w:val="es-MX" w:eastAsia="en-US"/>
        </w:rPr>
        <w:t>,</w:t>
      </w:r>
      <w:r w:rsidR="00FF194A" w:rsidRPr="004642FE">
        <w:rPr>
          <w:rFonts w:ascii="Verdana" w:eastAsia="Calibri" w:hAnsi="Verdana" w:cs="Arial"/>
          <w:sz w:val="22"/>
          <w:szCs w:val="22"/>
          <w:lang w:val="es-MX" w:eastAsia="en-US"/>
        </w:rPr>
        <w:t xml:space="preserve"> en su f</w:t>
      </w:r>
      <w:r w:rsidR="0087617F" w:rsidRPr="00CC5A5B">
        <w:rPr>
          <w:rFonts w:ascii="Verdana" w:eastAsia="Calibri" w:hAnsi="Verdana" w:cs="Arial"/>
          <w:sz w:val="22"/>
          <w:szCs w:val="22"/>
          <w:lang w:val="es-MX" w:eastAsia="en-US"/>
        </w:rPr>
        <w:t>racción I, por tratarse de datos personales identificativos y fracción IV, por tratarse de datos sobre la salud</w:t>
      </w:r>
      <w:r w:rsidRPr="00CC5A5B">
        <w:rPr>
          <w:rFonts w:ascii="Verdana" w:eastAsia="Calibri" w:hAnsi="Verdana" w:cs="Arial"/>
          <w:color w:val="000000"/>
          <w:sz w:val="22"/>
          <w:szCs w:val="22"/>
          <w:lang w:val="es-MX" w:eastAsia="en-US"/>
        </w:rPr>
        <w:t>,</w:t>
      </w:r>
      <w:r w:rsidR="00FF194A" w:rsidRPr="004642FE">
        <w:rPr>
          <w:rFonts w:ascii="Verdana" w:eastAsia="Calibri" w:hAnsi="Verdana" w:cs="Arial"/>
          <w:color w:val="000000"/>
          <w:sz w:val="22"/>
          <w:szCs w:val="22"/>
          <w:lang w:val="es-MX" w:eastAsia="en-US"/>
        </w:rPr>
        <w:t xml:space="preserve"> </w:t>
      </w:r>
      <w:r w:rsidRPr="00CC5A5B">
        <w:rPr>
          <w:rFonts w:ascii="Verdana" w:eastAsia="Calibri" w:hAnsi="Verdana" w:cs="Arial"/>
          <w:sz w:val="22"/>
          <w:szCs w:val="22"/>
          <w:lang w:val="es-MX" w:eastAsia="en-US"/>
        </w:rPr>
        <w:t>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w:t>
      </w:r>
      <w:r w:rsidR="00FF194A" w:rsidRPr="004642FE">
        <w:rPr>
          <w:rFonts w:ascii="Verdana" w:eastAsia="Calibri" w:hAnsi="Verdana" w:cs="Arial"/>
          <w:sz w:val="22"/>
          <w:szCs w:val="22"/>
          <w:lang w:val="es-MX" w:eastAsia="en-US"/>
        </w:rPr>
        <w:t xml:space="preserve"> </w:t>
      </w:r>
      <w:r w:rsidRPr="00CC5A5B">
        <w:rPr>
          <w:rFonts w:ascii="Verdana" w:eastAsia="Calibri" w:hAnsi="Verdana" w:cs="Arial"/>
          <w:sz w:val="22"/>
          <w:szCs w:val="22"/>
          <w:lang w:val="es-MX" w:eastAsia="en-US"/>
        </w:rPr>
        <w:t xml:space="preserve">así como para la Elaboración de </w:t>
      </w:r>
      <w:r w:rsidR="00253271" w:rsidRPr="004642FE">
        <w:rPr>
          <w:rFonts w:ascii="Verdana" w:eastAsia="Calibri" w:hAnsi="Verdana" w:cs="Arial"/>
          <w:sz w:val="22"/>
          <w:szCs w:val="22"/>
          <w:lang w:val="es-MX" w:eastAsia="en-US"/>
        </w:rPr>
        <w:t>V</w:t>
      </w:r>
      <w:r w:rsidRPr="00CC5A5B">
        <w:rPr>
          <w:rFonts w:ascii="Verdana" w:eastAsia="Calibri" w:hAnsi="Verdana" w:cs="Arial"/>
          <w:sz w:val="22"/>
          <w:szCs w:val="22"/>
          <w:lang w:val="es-MX" w:eastAsia="en-US"/>
        </w:rPr>
        <w:t xml:space="preserve">ersiones </w:t>
      </w:r>
      <w:r w:rsidR="00253271" w:rsidRPr="004642FE">
        <w:rPr>
          <w:rFonts w:ascii="Verdana" w:eastAsia="Calibri" w:hAnsi="Verdana" w:cs="Arial"/>
          <w:sz w:val="22"/>
          <w:szCs w:val="22"/>
          <w:lang w:val="es-MX" w:eastAsia="en-US"/>
        </w:rPr>
        <w:t>P</w:t>
      </w:r>
      <w:r w:rsidRPr="00CC5A5B">
        <w:rPr>
          <w:rFonts w:ascii="Verdana" w:eastAsia="Calibri" w:hAnsi="Verdana" w:cs="Arial"/>
          <w:sz w:val="22"/>
          <w:szCs w:val="22"/>
          <w:lang w:val="es-MX" w:eastAsia="en-US"/>
        </w:rPr>
        <w:t>úblicas, en su lineamiento trigésimo octavo</w:t>
      </w:r>
      <w:r w:rsidR="0087617F" w:rsidRPr="004642FE">
        <w:rPr>
          <w:rFonts w:ascii="Verdana" w:eastAsia="Calibri" w:hAnsi="Verdana" w:cs="Arial"/>
          <w:sz w:val="22"/>
          <w:szCs w:val="22"/>
          <w:lang w:val="es-MX" w:eastAsia="en-US"/>
        </w:rPr>
        <w:t>,</w:t>
      </w:r>
      <w:r w:rsidRPr="00CC5A5B">
        <w:rPr>
          <w:rFonts w:ascii="Verdana" w:eastAsia="Calibri" w:hAnsi="Verdana" w:cs="Arial"/>
          <w:sz w:val="22"/>
          <w:szCs w:val="22"/>
          <w:lang w:val="es-MX" w:eastAsia="en-US"/>
        </w:rPr>
        <w:t xml:space="preserve">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CC5A5B">
        <w:rPr>
          <w:rFonts w:ascii="Verdana" w:eastAsia="Calibri" w:hAnsi="Verdana"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CC5A5B">
        <w:rPr>
          <w:rFonts w:ascii="Verdana" w:eastAsia="Calibri" w:hAnsi="Verdana" w:cs="Arial"/>
          <w:sz w:val="22"/>
          <w:szCs w:val="22"/>
          <w:lang w:val="es-MX" w:eastAsia="en-US"/>
        </w:rPr>
        <w:t>numeral 30 punto 1, de la Ley de Protección de Datos Personales en Posesión de Sujetos Obligados del Estado de Jalisco y sus Municipios.</w:t>
      </w:r>
    </w:p>
    <w:p w:rsidR="00CC5A5B" w:rsidRPr="00CC5A5B" w:rsidRDefault="00CC5A5B" w:rsidP="00CC5A5B">
      <w:pPr>
        <w:tabs>
          <w:tab w:val="left" w:pos="180"/>
        </w:tabs>
        <w:autoSpaceDE w:val="0"/>
        <w:autoSpaceDN w:val="0"/>
        <w:adjustRightInd w:val="0"/>
        <w:spacing w:line="240" w:lineRule="atLeast"/>
        <w:jc w:val="both"/>
        <w:rPr>
          <w:rFonts w:ascii="Verdana" w:eastAsia="Calibri" w:hAnsi="Verdana" w:cs="Arial"/>
          <w:sz w:val="22"/>
          <w:szCs w:val="22"/>
          <w:lang w:val="es-MX" w:eastAsia="en-US"/>
        </w:rPr>
      </w:pPr>
    </w:p>
    <w:p w:rsidR="00CC5A5B" w:rsidRPr="00CC5A5B" w:rsidRDefault="00CC5A5B" w:rsidP="00CC5A5B">
      <w:pPr>
        <w:tabs>
          <w:tab w:val="left" w:pos="180"/>
        </w:tabs>
        <w:autoSpaceDE w:val="0"/>
        <w:autoSpaceDN w:val="0"/>
        <w:adjustRightInd w:val="0"/>
        <w:spacing w:line="240" w:lineRule="atLeast"/>
        <w:jc w:val="both"/>
        <w:rPr>
          <w:rFonts w:ascii="Verdana" w:eastAsia="Calibri" w:hAnsi="Verdana" w:cs="Arial"/>
          <w:sz w:val="22"/>
          <w:szCs w:val="22"/>
          <w:lang w:val="es-MX" w:eastAsia="en-US"/>
        </w:rPr>
      </w:pPr>
      <w:r w:rsidRPr="00CC5A5B">
        <w:rPr>
          <w:rFonts w:ascii="Verdana" w:eastAsia="Calibri" w:hAnsi="Verdana" w:cs="Arial"/>
          <w:sz w:val="22"/>
          <w:szCs w:val="22"/>
          <w:lang w:val="es-MX" w:eastAsia="en-US"/>
        </w:rPr>
        <w:t xml:space="preserve">Una vez expuesto lo anterior, y tomando en cuenta que, si en el algún momento dichos datos personales y datos personales sensibles, fueran revelados a persona distinta al titular de los mismos, se estaría violentando el derecho humano que tienen todos los ciudadanos a la protección de sus datos personales, consagrado en el artículo 16 de la Constitución Política de los Estados Unidos Mexicanos, y si trasgrediera dicho derecho, revelando el parte médico, se estaría perjudicando la esfera más íntima de su titular. </w:t>
      </w:r>
    </w:p>
    <w:p w:rsidR="00CC5A5B" w:rsidRPr="00CC5A5B" w:rsidRDefault="00CC5A5B" w:rsidP="00CC5A5B">
      <w:pPr>
        <w:tabs>
          <w:tab w:val="left" w:pos="180"/>
        </w:tabs>
        <w:autoSpaceDE w:val="0"/>
        <w:autoSpaceDN w:val="0"/>
        <w:adjustRightInd w:val="0"/>
        <w:spacing w:line="240" w:lineRule="atLeast"/>
        <w:jc w:val="both"/>
        <w:rPr>
          <w:rFonts w:ascii="Verdana" w:eastAsia="Calibri" w:hAnsi="Verdana" w:cs="Arial"/>
          <w:sz w:val="22"/>
          <w:szCs w:val="22"/>
          <w:lang w:val="es-MX" w:eastAsia="en-US"/>
        </w:rPr>
      </w:pPr>
    </w:p>
    <w:p w:rsidR="00CC5A5B" w:rsidRPr="00CC5A5B" w:rsidRDefault="00CC5A5B" w:rsidP="00CC5A5B">
      <w:pPr>
        <w:tabs>
          <w:tab w:val="left" w:pos="180"/>
        </w:tabs>
        <w:autoSpaceDE w:val="0"/>
        <w:autoSpaceDN w:val="0"/>
        <w:adjustRightInd w:val="0"/>
        <w:spacing w:line="240" w:lineRule="atLeast"/>
        <w:jc w:val="both"/>
        <w:rPr>
          <w:rFonts w:ascii="Verdana" w:eastAsia="Calibri" w:hAnsi="Verdana" w:cs="Arial"/>
          <w:sz w:val="22"/>
          <w:szCs w:val="22"/>
          <w:lang w:val="es-MX" w:eastAsia="en-US"/>
        </w:rPr>
      </w:pPr>
      <w:r w:rsidRPr="00CC5A5B">
        <w:rPr>
          <w:rFonts w:ascii="Verdana" w:eastAsia="Times New Roman" w:hAnsi="Verdana" w:cs="Arial"/>
          <w:sz w:val="22"/>
          <w:szCs w:val="22"/>
          <w:lang w:val="es-ES"/>
        </w:rPr>
        <w:lastRenderedPageBreak/>
        <w:t>E</w:t>
      </w:r>
      <w:r w:rsidRPr="00CC5A5B">
        <w:rPr>
          <w:rFonts w:ascii="Verdana" w:eastAsia="Calibri" w:hAnsi="Verdana" w:cs="Arial"/>
          <w:sz w:val="22"/>
          <w:szCs w:val="22"/>
          <w:lang w:val="es-MX" w:eastAsia="en-US"/>
        </w:rPr>
        <w:t>l Comité de Transparencia, de conformidad a lo establecido por el Lineamiento Sexagésimo segundo de los Lineamientos Generales en materia de Clasificación y Desclasificación de la Información, así como para la elaboración de versiones públicas, determina confirmar la elaboración de la versión publica elaborada por la</w:t>
      </w:r>
      <w:r w:rsidR="00253271" w:rsidRPr="004642FE">
        <w:rPr>
          <w:rFonts w:ascii="Verdana" w:eastAsia="Calibri" w:hAnsi="Verdana" w:cs="Arial"/>
          <w:sz w:val="22"/>
          <w:szCs w:val="22"/>
          <w:lang w:val="es-MX" w:eastAsia="en-US"/>
        </w:rPr>
        <w:t xml:space="preserve"> </w:t>
      </w:r>
      <w:r w:rsidRPr="00CC5A5B">
        <w:rPr>
          <w:rFonts w:ascii="Verdana" w:eastAsia="Calibri" w:hAnsi="Verdana" w:cs="Arial"/>
          <w:sz w:val="22"/>
          <w:szCs w:val="22"/>
          <w:lang w:val="es-MX" w:eastAsia="en-US"/>
        </w:rPr>
        <w:t>Coordinadora de Administración de esta Secretaría</w:t>
      </w:r>
      <w:r w:rsidR="00253271" w:rsidRPr="004642FE">
        <w:rPr>
          <w:rFonts w:ascii="Verdana" w:eastAsia="Calibri" w:hAnsi="Verdana" w:cs="Arial"/>
          <w:sz w:val="22"/>
          <w:szCs w:val="22"/>
          <w:lang w:val="es-MX" w:eastAsia="en-US"/>
        </w:rPr>
        <w:t xml:space="preserve"> Ejecutiva</w:t>
      </w:r>
      <w:r w:rsidRPr="00CC5A5B">
        <w:rPr>
          <w:rFonts w:ascii="Verdana" w:eastAsia="Calibri" w:hAnsi="Verdana" w:cs="Arial"/>
          <w:sz w:val="22"/>
          <w:szCs w:val="22"/>
          <w:lang w:val="es-MX" w:eastAsia="en-US"/>
        </w:rPr>
        <w:t xml:space="preserve">, la Lic. Martha </w:t>
      </w:r>
      <w:proofErr w:type="spellStart"/>
      <w:r w:rsidRPr="00CC5A5B">
        <w:rPr>
          <w:rFonts w:ascii="Verdana" w:eastAsia="Calibri" w:hAnsi="Verdana" w:cs="Arial"/>
          <w:sz w:val="22"/>
          <w:szCs w:val="22"/>
          <w:lang w:val="es-MX" w:eastAsia="en-US"/>
        </w:rPr>
        <w:t>Iraí</w:t>
      </w:r>
      <w:proofErr w:type="spellEnd"/>
      <w:r w:rsidRPr="00CC5A5B">
        <w:rPr>
          <w:rFonts w:ascii="Verdana" w:eastAsia="Calibri" w:hAnsi="Verdana" w:cs="Arial"/>
          <w:sz w:val="22"/>
          <w:szCs w:val="22"/>
          <w:lang w:val="es-MX" w:eastAsia="en-US"/>
        </w:rPr>
        <w:t xml:space="preserve"> Arriola Flores, para dar respuesta a la solicitud de información registrado bajo el número de folio </w:t>
      </w:r>
      <w:proofErr w:type="spellStart"/>
      <w:r w:rsidRPr="00CC5A5B">
        <w:rPr>
          <w:rFonts w:ascii="Verdana" w:eastAsia="Calibri" w:hAnsi="Verdana" w:cs="Arial"/>
          <w:sz w:val="22"/>
          <w:szCs w:val="22"/>
          <w:lang w:val="es-MX" w:eastAsia="en-US"/>
        </w:rPr>
        <w:t>Infomex</w:t>
      </w:r>
      <w:proofErr w:type="spellEnd"/>
      <w:r w:rsidRPr="00CC5A5B">
        <w:rPr>
          <w:rFonts w:ascii="Verdana" w:eastAsia="Calibri" w:hAnsi="Verdana" w:cs="Arial"/>
          <w:sz w:val="22"/>
          <w:szCs w:val="22"/>
          <w:lang w:val="es-MX" w:eastAsia="en-US"/>
        </w:rPr>
        <w:t>, 07833119 a las que se le asignará el número de expediente interno, SE/UTI/273/2019.</w:t>
      </w:r>
    </w:p>
    <w:p w:rsidR="00CC5A5B" w:rsidRPr="00CC5A5B" w:rsidRDefault="00CC5A5B" w:rsidP="00CC5A5B">
      <w:pPr>
        <w:tabs>
          <w:tab w:val="left" w:pos="180"/>
        </w:tabs>
        <w:autoSpaceDE w:val="0"/>
        <w:autoSpaceDN w:val="0"/>
        <w:adjustRightInd w:val="0"/>
        <w:spacing w:line="240" w:lineRule="atLeast"/>
        <w:jc w:val="both"/>
        <w:rPr>
          <w:rFonts w:ascii="Verdana" w:eastAsia="Calibri" w:hAnsi="Verdana" w:cs="Arial"/>
          <w:sz w:val="22"/>
          <w:szCs w:val="22"/>
          <w:lang w:val="es-MX" w:eastAsia="en-US"/>
        </w:rPr>
      </w:pPr>
    </w:p>
    <w:p w:rsidR="00CC5A5B" w:rsidRPr="00CC5A5B" w:rsidRDefault="00CC5A5B" w:rsidP="00CC5A5B">
      <w:pPr>
        <w:spacing w:after="160" w:line="259" w:lineRule="auto"/>
        <w:ind w:right="-39"/>
        <w:jc w:val="both"/>
        <w:rPr>
          <w:rFonts w:ascii="Verdana" w:eastAsia="Calibri" w:hAnsi="Verdana" w:cs="Arial"/>
          <w:sz w:val="22"/>
          <w:szCs w:val="22"/>
          <w:lang w:val="es-MX" w:eastAsia="en-US"/>
        </w:rPr>
      </w:pPr>
      <w:r w:rsidRPr="00CC5A5B">
        <w:rPr>
          <w:rFonts w:ascii="Verdana" w:eastAsia="Calibri" w:hAnsi="Verdana" w:cs="Arial"/>
          <w:sz w:val="22"/>
          <w:szCs w:val="22"/>
          <w:lang w:val="es-MX" w:eastAsia="en-US"/>
        </w:rPr>
        <w:t xml:space="preserve">Es así </w:t>
      </w:r>
      <w:proofErr w:type="gramStart"/>
      <w:r w:rsidRPr="00CC5A5B">
        <w:rPr>
          <w:rFonts w:ascii="Verdana" w:eastAsia="Calibri" w:hAnsi="Verdana" w:cs="Arial"/>
          <w:sz w:val="22"/>
          <w:szCs w:val="22"/>
          <w:lang w:val="es-MX" w:eastAsia="en-US"/>
        </w:rPr>
        <w:t>que</w:t>
      </w:r>
      <w:proofErr w:type="gramEnd"/>
      <w:r w:rsidRPr="00CC5A5B">
        <w:rPr>
          <w:rFonts w:ascii="Verdana" w:eastAsia="Calibri" w:hAnsi="Verdana" w:cs="Arial"/>
          <w:sz w:val="22"/>
          <w:szCs w:val="22"/>
          <w:lang w:val="es-MX" w:eastAsia="en-US"/>
        </w:rPr>
        <w:t xml:space="preserve"> después de analizar las versiones públicas de los justificantes de ausencia, así como del parte médico, y a la luz de lo expuesto con anterioridad, se somete a votación para la aprobación de las mismas, la cual arrojó un resultado unánime.</w:t>
      </w:r>
    </w:p>
    <w:p w:rsidR="00CC5A5B" w:rsidRPr="00CC5A5B" w:rsidRDefault="00CC5A5B" w:rsidP="00CC5A5B">
      <w:pPr>
        <w:spacing w:after="160" w:line="259" w:lineRule="auto"/>
        <w:ind w:right="-39"/>
        <w:jc w:val="both"/>
        <w:rPr>
          <w:rFonts w:ascii="Verdana" w:eastAsia="Calibri" w:hAnsi="Verdana" w:cs="Consolas"/>
          <w:sz w:val="22"/>
          <w:szCs w:val="22"/>
          <w:lang w:val="es-MX" w:eastAsia="en-US"/>
        </w:rPr>
      </w:pPr>
      <w:r w:rsidRPr="00CC5A5B">
        <w:rPr>
          <w:rFonts w:ascii="Verdana" w:eastAsia="Calibri" w:hAnsi="Verdana" w:cs="Arial"/>
          <w:sz w:val="22"/>
          <w:szCs w:val="22"/>
          <w:lang w:val="es-MX" w:eastAsia="en-US"/>
        </w:rPr>
        <w:t xml:space="preserve">Y </w:t>
      </w:r>
      <w:r w:rsidRPr="00CC5A5B">
        <w:rPr>
          <w:rFonts w:ascii="Verdana" w:eastAsia="Calibri" w:hAnsi="Verdana" w:cs="Consolas"/>
          <w:sz w:val="22"/>
          <w:szCs w:val="22"/>
          <w:lang w:val="es-MX" w:eastAsia="en-US"/>
        </w:rPr>
        <w:t>en base a lo anteriormente expuesto, se acuerda lo siguiente:</w:t>
      </w:r>
    </w:p>
    <w:p w:rsidR="004642FE" w:rsidRDefault="004642FE" w:rsidP="00CC5A5B">
      <w:pPr>
        <w:spacing w:after="160" w:line="259" w:lineRule="auto"/>
        <w:ind w:left="426" w:right="1134" w:firstLine="708"/>
        <w:jc w:val="both"/>
        <w:rPr>
          <w:rFonts w:ascii="Verdana" w:eastAsia="Calibri" w:hAnsi="Verdana" w:cs="Consolas"/>
          <w:b/>
          <w:i/>
          <w:sz w:val="22"/>
          <w:szCs w:val="22"/>
          <w:u w:val="single"/>
          <w:lang w:val="es-MX" w:eastAsia="en-US"/>
        </w:rPr>
      </w:pPr>
    </w:p>
    <w:p w:rsidR="00CC5A5B" w:rsidRPr="00CC5A5B" w:rsidRDefault="00CC5A5B" w:rsidP="00CC5A5B">
      <w:pPr>
        <w:spacing w:after="160" w:line="259" w:lineRule="auto"/>
        <w:ind w:left="426" w:right="1134" w:firstLine="708"/>
        <w:jc w:val="both"/>
        <w:rPr>
          <w:rFonts w:ascii="Verdana" w:eastAsia="Calibri" w:hAnsi="Verdana" w:cs="Consolas"/>
          <w:b/>
          <w:i/>
          <w:caps/>
          <w:sz w:val="22"/>
          <w:szCs w:val="22"/>
          <w:u w:val="single"/>
          <w:lang w:val="es-MX" w:eastAsia="en-US"/>
        </w:rPr>
      </w:pPr>
      <w:r w:rsidRPr="00CC5A5B">
        <w:rPr>
          <w:rFonts w:ascii="Verdana" w:eastAsia="Calibri" w:hAnsi="Verdana" w:cs="Consolas"/>
          <w:b/>
          <w:i/>
          <w:sz w:val="22"/>
          <w:szCs w:val="22"/>
          <w:u w:val="single"/>
          <w:lang w:val="es-MX" w:eastAsia="en-US"/>
        </w:rPr>
        <w:t>ACU/SEA/CT/08/2019</w:t>
      </w:r>
    </w:p>
    <w:p w:rsidR="00CC5A5B" w:rsidRPr="00CC5A5B" w:rsidRDefault="00CC5A5B" w:rsidP="00CC5A5B">
      <w:pPr>
        <w:spacing w:after="160" w:line="259" w:lineRule="auto"/>
        <w:ind w:left="426" w:right="474"/>
        <w:jc w:val="both"/>
        <w:rPr>
          <w:rFonts w:ascii="Verdana" w:eastAsia="Calibri" w:hAnsi="Verdana" w:cs="Consolas"/>
          <w:i/>
          <w:sz w:val="22"/>
          <w:szCs w:val="22"/>
          <w:lang w:val="es-MX" w:eastAsia="en-US"/>
        </w:rPr>
      </w:pPr>
      <w:r w:rsidRPr="00CC5A5B">
        <w:rPr>
          <w:rFonts w:ascii="Verdana" w:eastAsia="Calibri" w:hAnsi="Verdana" w:cs="Consolas"/>
          <w:i/>
          <w:sz w:val="22"/>
          <w:szCs w:val="22"/>
          <w:lang w:val="es-MX" w:eastAsia="en-US"/>
        </w:rPr>
        <w:t>“</w:t>
      </w:r>
      <w:r w:rsidRPr="00CC5A5B">
        <w:rPr>
          <w:rFonts w:ascii="Verdana" w:eastAsia="Calibri" w:hAnsi="Verdana" w:cs="Consolas"/>
          <w:b/>
          <w:i/>
          <w:sz w:val="22"/>
          <w:szCs w:val="22"/>
          <w:lang w:val="es-MX" w:eastAsia="en-US"/>
        </w:rPr>
        <w:t>Se confirma</w:t>
      </w:r>
      <w:r w:rsidR="004D473D">
        <w:rPr>
          <w:rFonts w:ascii="Verdana" w:eastAsia="Calibri" w:hAnsi="Verdana" w:cs="Consolas"/>
          <w:b/>
          <w:i/>
          <w:sz w:val="22"/>
          <w:szCs w:val="22"/>
          <w:lang w:val="es-MX" w:eastAsia="en-US"/>
        </w:rPr>
        <w:t xml:space="preserve"> por unanimidad</w:t>
      </w:r>
      <w:r w:rsidRPr="00CC5A5B">
        <w:rPr>
          <w:rFonts w:ascii="Verdana" w:eastAsia="Calibri" w:hAnsi="Verdana" w:cs="Consolas"/>
          <w:b/>
          <w:i/>
          <w:sz w:val="22"/>
          <w:szCs w:val="22"/>
          <w:lang w:val="es-MX" w:eastAsia="en-US"/>
        </w:rPr>
        <w:t xml:space="preserve"> la elaboración</w:t>
      </w:r>
      <w:r w:rsidR="004D473D">
        <w:rPr>
          <w:rFonts w:ascii="Verdana" w:eastAsia="Calibri" w:hAnsi="Verdana" w:cs="Consolas"/>
          <w:b/>
          <w:i/>
          <w:sz w:val="22"/>
          <w:szCs w:val="22"/>
          <w:lang w:val="es-MX" w:eastAsia="en-US"/>
        </w:rPr>
        <w:t xml:space="preserve"> </w:t>
      </w:r>
      <w:r w:rsidRPr="00CC5A5B">
        <w:rPr>
          <w:rFonts w:ascii="Verdana" w:eastAsia="Calibri" w:hAnsi="Verdana" w:cs="Consolas"/>
          <w:b/>
          <w:i/>
          <w:sz w:val="22"/>
          <w:szCs w:val="22"/>
          <w:lang w:val="es-MX" w:eastAsia="en-US"/>
        </w:rPr>
        <w:t>de la versión pública de</w:t>
      </w:r>
      <w:r w:rsidR="004642FE" w:rsidRPr="004642FE">
        <w:rPr>
          <w:rFonts w:ascii="Verdana" w:eastAsia="Calibri" w:hAnsi="Verdana" w:cs="Consolas"/>
          <w:b/>
          <w:i/>
          <w:sz w:val="22"/>
          <w:szCs w:val="22"/>
          <w:lang w:val="es-MX" w:eastAsia="en-US"/>
        </w:rPr>
        <w:t xml:space="preserve">l </w:t>
      </w:r>
      <w:r w:rsidRPr="00CC5A5B">
        <w:rPr>
          <w:rFonts w:ascii="Verdana" w:eastAsia="Calibri" w:hAnsi="Verdana" w:cs="Arial"/>
          <w:b/>
          <w:sz w:val="22"/>
          <w:szCs w:val="22"/>
          <w:lang w:val="es-MX" w:eastAsia="en-US"/>
        </w:rPr>
        <w:t>parte médico</w:t>
      </w:r>
      <w:r w:rsidRPr="00CC5A5B">
        <w:rPr>
          <w:rFonts w:ascii="Verdana" w:eastAsia="Calibri" w:hAnsi="Verdana" w:cs="Consolas"/>
          <w:b/>
          <w:i/>
          <w:sz w:val="22"/>
          <w:szCs w:val="22"/>
          <w:lang w:val="es-MX" w:eastAsia="en-US"/>
        </w:rPr>
        <w:t xml:space="preserve">, </w:t>
      </w:r>
      <w:r w:rsidRPr="00CC5A5B">
        <w:rPr>
          <w:rFonts w:ascii="Verdana" w:eastAsia="Calibri" w:hAnsi="Verdana" w:cs="Consolas"/>
          <w:i/>
          <w:sz w:val="22"/>
          <w:szCs w:val="22"/>
          <w:lang w:val="es-MX" w:eastAsia="en-US"/>
        </w:rPr>
        <w:t>realizada por la Coordinadora Administrativa y por la Unidad de Transparencia de esta Secretaría Ejecutiva del Sistema Estatal Anticorrupción de Jalisco, por la que determinaron como datos personales:</w:t>
      </w:r>
      <w:r w:rsidR="004642FE" w:rsidRPr="004642FE">
        <w:rPr>
          <w:rFonts w:ascii="Verdana" w:eastAsia="Calibri" w:hAnsi="Verdana" w:cs="Consolas"/>
          <w:b/>
          <w:i/>
          <w:sz w:val="22"/>
          <w:szCs w:val="22"/>
          <w:lang w:val="es-MX" w:eastAsia="en-US"/>
        </w:rPr>
        <w:t xml:space="preserve"> E</w:t>
      </w:r>
      <w:r w:rsidRPr="00CC5A5B">
        <w:rPr>
          <w:rFonts w:ascii="Verdana" w:eastAsia="Calibri" w:hAnsi="Verdana" w:cs="Consolas"/>
          <w:b/>
          <w:i/>
          <w:sz w:val="22"/>
          <w:szCs w:val="22"/>
          <w:lang w:val="es-MX" w:eastAsia="en-US"/>
        </w:rPr>
        <w:t>dad, dosis</w:t>
      </w:r>
      <w:r w:rsidRPr="00CC5A5B">
        <w:rPr>
          <w:rFonts w:ascii="Verdana" w:eastAsia="Times New Roman" w:hAnsi="Verdana" w:cs="Arial"/>
          <w:b/>
          <w:i/>
          <w:sz w:val="22"/>
          <w:szCs w:val="22"/>
          <w:lang w:val="es-ES"/>
        </w:rPr>
        <w:t xml:space="preserve">, frecuencia duración del medicamento prescrito, </w:t>
      </w:r>
      <w:r w:rsidRPr="004642FE">
        <w:rPr>
          <w:rFonts w:ascii="Verdana" w:eastAsia="Times New Roman" w:hAnsi="Verdana" w:cs="Arial"/>
          <w:b/>
          <w:i/>
          <w:sz w:val="22"/>
          <w:szCs w:val="22"/>
          <w:lang w:val="es-ES"/>
        </w:rPr>
        <w:t>diagnóstico</w:t>
      </w:r>
      <w:r w:rsidRPr="00CC5A5B">
        <w:rPr>
          <w:rFonts w:ascii="Verdana" w:eastAsia="Times New Roman" w:hAnsi="Verdana" w:cs="Arial"/>
          <w:b/>
          <w:i/>
          <w:sz w:val="22"/>
          <w:szCs w:val="22"/>
          <w:lang w:val="es-ES"/>
        </w:rPr>
        <w:t xml:space="preserve"> y firma del doctor, </w:t>
      </w:r>
      <w:r w:rsidRPr="00CC5A5B">
        <w:rPr>
          <w:rFonts w:ascii="Verdana" w:eastAsia="Calibri" w:hAnsi="Verdana" w:cs="Consolas"/>
          <w:i/>
          <w:sz w:val="22"/>
          <w:szCs w:val="22"/>
          <w:lang w:val="es-MX" w:eastAsia="en-US"/>
        </w:rPr>
        <w:t xml:space="preserve">contenidos en </w:t>
      </w:r>
      <w:r w:rsidR="004642FE" w:rsidRPr="004642FE">
        <w:rPr>
          <w:rFonts w:ascii="Verdana" w:eastAsia="Calibri" w:hAnsi="Verdana" w:cs="Consolas"/>
          <w:i/>
          <w:sz w:val="22"/>
          <w:szCs w:val="22"/>
          <w:lang w:val="es-MX" w:eastAsia="en-US"/>
        </w:rPr>
        <w:t>el</w:t>
      </w:r>
      <w:r w:rsidRPr="00CC5A5B">
        <w:rPr>
          <w:rFonts w:ascii="Verdana" w:eastAsia="Calibri" w:hAnsi="Verdana" w:cs="Consolas"/>
          <w:i/>
          <w:sz w:val="22"/>
          <w:szCs w:val="22"/>
          <w:lang w:val="es-MX" w:eastAsia="en-US"/>
        </w:rPr>
        <w:t xml:space="preserve"> documento solicitado por el ciudadano”.</w:t>
      </w:r>
    </w:p>
    <w:p w:rsidR="004642FE" w:rsidRDefault="004642FE" w:rsidP="00CC5A5B">
      <w:pPr>
        <w:spacing w:after="160" w:line="259" w:lineRule="auto"/>
        <w:jc w:val="both"/>
        <w:rPr>
          <w:rFonts w:ascii="Verdana" w:eastAsia="Calibri" w:hAnsi="Verdana" w:cs="Consolas"/>
          <w:sz w:val="22"/>
          <w:szCs w:val="22"/>
          <w:lang w:val="es-MX" w:eastAsia="en-US"/>
        </w:rPr>
      </w:pPr>
      <w:bookmarkStart w:id="1" w:name="_GoBack"/>
      <w:bookmarkEnd w:id="1"/>
    </w:p>
    <w:p w:rsidR="00CC5A5B" w:rsidRPr="00CC5A5B" w:rsidRDefault="00CC5A5B" w:rsidP="00CC5A5B">
      <w:pPr>
        <w:spacing w:after="160" w:line="259" w:lineRule="auto"/>
        <w:jc w:val="both"/>
        <w:rPr>
          <w:rFonts w:ascii="Verdana" w:eastAsia="Calibri" w:hAnsi="Verdana" w:cs="Consolas"/>
          <w:sz w:val="22"/>
          <w:szCs w:val="22"/>
          <w:lang w:val="es-MX" w:eastAsia="en-US"/>
        </w:rPr>
      </w:pPr>
      <w:proofErr w:type="gramStart"/>
      <w:r w:rsidRPr="00CC5A5B">
        <w:rPr>
          <w:rFonts w:ascii="Verdana" w:eastAsia="Calibri" w:hAnsi="Verdana" w:cs="Consolas"/>
          <w:sz w:val="22"/>
          <w:szCs w:val="22"/>
          <w:lang w:val="es-MX" w:eastAsia="en-US"/>
        </w:rPr>
        <w:t>En razón de</w:t>
      </w:r>
      <w:proofErr w:type="gramEnd"/>
      <w:r w:rsidRPr="00CC5A5B">
        <w:rPr>
          <w:rFonts w:ascii="Verdana" w:eastAsia="Calibri" w:hAnsi="Verdana" w:cs="Consolas"/>
          <w:sz w:val="22"/>
          <w:szCs w:val="22"/>
          <w:lang w:val="es-MX" w:eastAsia="en-US"/>
        </w:rPr>
        <w:t xml:space="preserve"> haber sido desahogado el orden del día en todos sus puntos, se declara clausurada la presente sesión, siendo las </w:t>
      </w:r>
      <w:r w:rsidR="006E2ACF" w:rsidRPr="004642FE">
        <w:rPr>
          <w:rFonts w:ascii="Verdana" w:eastAsia="Calibri" w:hAnsi="Verdana" w:cs="Consolas"/>
          <w:sz w:val="22"/>
          <w:szCs w:val="22"/>
          <w:lang w:val="es-MX" w:eastAsia="en-US"/>
        </w:rPr>
        <w:t>14</w:t>
      </w:r>
      <w:r w:rsidRPr="00CC5A5B">
        <w:rPr>
          <w:rFonts w:ascii="Verdana" w:eastAsia="Calibri" w:hAnsi="Verdana" w:cs="Consolas"/>
          <w:sz w:val="22"/>
          <w:szCs w:val="22"/>
          <w:lang w:val="es-MX" w:eastAsia="en-US"/>
        </w:rPr>
        <w:t>:</w:t>
      </w:r>
      <w:r w:rsidR="006E2ACF" w:rsidRPr="004642FE">
        <w:rPr>
          <w:rFonts w:ascii="Verdana" w:eastAsia="Calibri" w:hAnsi="Verdana" w:cs="Consolas"/>
          <w:sz w:val="22"/>
          <w:szCs w:val="22"/>
          <w:lang w:val="es-MX" w:eastAsia="en-US"/>
        </w:rPr>
        <w:t>20</w:t>
      </w:r>
      <w:r w:rsidRPr="00CC5A5B">
        <w:rPr>
          <w:rFonts w:ascii="Verdana" w:eastAsia="Calibri" w:hAnsi="Verdana" w:cs="Consolas"/>
          <w:sz w:val="22"/>
          <w:szCs w:val="22"/>
          <w:lang w:val="es-MX" w:eastAsia="en-US"/>
        </w:rPr>
        <w:t xml:space="preserve"> </w:t>
      </w:r>
      <w:r w:rsidR="006E2ACF" w:rsidRPr="004642FE">
        <w:rPr>
          <w:rFonts w:ascii="Verdana" w:eastAsia="Calibri" w:hAnsi="Verdana" w:cs="Consolas"/>
          <w:sz w:val="22"/>
          <w:szCs w:val="22"/>
          <w:lang w:val="es-MX" w:eastAsia="en-US"/>
        </w:rPr>
        <w:t>catorce</w:t>
      </w:r>
      <w:r w:rsidRPr="00CC5A5B">
        <w:rPr>
          <w:rFonts w:ascii="Verdana" w:eastAsia="Calibri" w:hAnsi="Verdana" w:cs="Consolas"/>
          <w:sz w:val="22"/>
          <w:szCs w:val="22"/>
          <w:lang w:val="es-MX" w:eastAsia="en-US"/>
        </w:rPr>
        <w:t xml:space="preserve"> horas con veinte minutos del día de su inicio, firmando los que en ella intervinieron.</w:t>
      </w:r>
    </w:p>
    <w:p w:rsidR="00CC5A5B" w:rsidRPr="00CC5A5B" w:rsidRDefault="00CC5A5B" w:rsidP="00CC5A5B">
      <w:pPr>
        <w:jc w:val="both"/>
        <w:rPr>
          <w:rFonts w:ascii="Verdana" w:eastAsia="Calibri" w:hAnsi="Verdana" w:cs="Consolas"/>
          <w:sz w:val="22"/>
          <w:szCs w:val="22"/>
          <w:lang w:val="es-MX" w:eastAsia="en-US"/>
        </w:rPr>
      </w:pPr>
    </w:p>
    <w:p w:rsidR="00CC5A5B" w:rsidRPr="00CC5A5B" w:rsidRDefault="00CC5A5B" w:rsidP="00CC5A5B">
      <w:pPr>
        <w:jc w:val="both"/>
        <w:rPr>
          <w:rFonts w:ascii="Verdana" w:eastAsia="Calibri" w:hAnsi="Verdana" w:cs="Consolas"/>
          <w:sz w:val="22"/>
          <w:szCs w:val="22"/>
          <w:lang w:val="es-MX" w:eastAsia="en-US"/>
        </w:rPr>
      </w:pPr>
    </w:p>
    <w:p w:rsidR="00CC5A5B" w:rsidRPr="00CC5A5B" w:rsidRDefault="00CC5A5B" w:rsidP="00CC5A5B">
      <w:pPr>
        <w:jc w:val="both"/>
        <w:rPr>
          <w:rFonts w:ascii="Verdana" w:eastAsia="Calibri" w:hAnsi="Verdana" w:cs="Consolas"/>
          <w:sz w:val="22"/>
          <w:szCs w:val="22"/>
          <w:lang w:val="es-MX" w:eastAsia="en-US"/>
        </w:rPr>
      </w:pPr>
    </w:p>
    <w:p w:rsidR="00CC5A5B" w:rsidRPr="00CC5A5B" w:rsidRDefault="00CC5A5B" w:rsidP="00CC5A5B">
      <w:pPr>
        <w:jc w:val="both"/>
        <w:rPr>
          <w:rFonts w:ascii="Verdana" w:eastAsia="Calibri" w:hAnsi="Verdana" w:cs="Consolas"/>
          <w:sz w:val="22"/>
          <w:szCs w:val="22"/>
          <w:lang w:val="es-MX" w:eastAsia="en-US"/>
        </w:rPr>
      </w:pPr>
    </w:p>
    <w:p w:rsidR="00CC5A5B" w:rsidRPr="00CC5A5B" w:rsidRDefault="00CC5A5B" w:rsidP="00CC5A5B">
      <w:pPr>
        <w:jc w:val="center"/>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____________________________________</w:t>
      </w:r>
    </w:p>
    <w:p w:rsidR="00CC5A5B" w:rsidRPr="00CC5A5B" w:rsidRDefault="00CC5A5B" w:rsidP="00CC5A5B">
      <w:pPr>
        <w:jc w:val="center"/>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 xml:space="preserve">Dra. </w:t>
      </w:r>
      <w:proofErr w:type="spellStart"/>
      <w:r w:rsidRPr="00CC5A5B">
        <w:rPr>
          <w:rFonts w:ascii="Verdana" w:eastAsia="Calibri" w:hAnsi="Verdana" w:cs="Consolas"/>
          <w:b/>
          <w:sz w:val="22"/>
          <w:szCs w:val="22"/>
          <w:lang w:val="es-MX" w:eastAsia="en-US"/>
        </w:rPr>
        <w:t>Haimé</w:t>
      </w:r>
      <w:proofErr w:type="spellEnd"/>
      <w:r w:rsidRPr="00CC5A5B">
        <w:rPr>
          <w:rFonts w:ascii="Verdana" w:eastAsia="Calibri" w:hAnsi="Verdana" w:cs="Consolas"/>
          <w:b/>
          <w:sz w:val="22"/>
          <w:szCs w:val="22"/>
          <w:lang w:val="es-MX" w:eastAsia="en-US"/>
        </w:rPr>
        <w:t xml:space="preserve"> Figueroa Neri</w:t>
      </w:r>
    </w:p>
    <w:p w:rsidR="00CC5A5B" w:rsidRPr="00CC5A5B" w:rsidRDefault="00CC5A5B" w:rsidP="00CC5A5B">
      <w:pPr>
        <w:jc w:val="center"/>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Presidenta del Comité de Transparencia</w:t>
      </w:r>
    </w:p>
    <w:p w:rsidR="00CC5A5B" w:rsidRPr="00CC5A5B" w:rsidRDefault="00CC5A5B" w:rsidP="00CC5A5B">
      <w:pPr>
        <w:jc w:val="center"/>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 xml:space="preserve">de la Secretaría Ejecutiva del Sistema Estatal </w:t>
      </w:r>
    </w:p>
    <w:p w:rsidR="00CC5A5B" w:rsidRPr="00CC5A5B" w:rsidRDefault="00CC5A5B" w:rsidP="00CC5A5B">
      <w:pPr>
        <w:spacing w:line="259" w:lineRule="auto"/>
        <w:jc w:val="center"/>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Anticorrupción de Jalisco.</w:t>
      </w:r>
    </w:p>
    <w:p w:rsidR="00CC5A5B" w:rsidRPr="00CC5A5B" w:rsidRDefault="00CC5A5B" w:rsidP="00CC5A5B">
      <w:pPr>
        <w:spacing w:line="259" w:lineRule="auto"/>
        <w:jc w:val="center"/>
        <w:rPr>
          <w:rFonts w:ascii="Verdana" w:eastAsia="Calibri" w:hAnsi="Verdana" w:cs="Consolas"/>
          <w:sz w:val="22"/>
          <w:szCs w:val="22"/>
          <w:lang w:val="es-MX" w:eastAsia="en-US"/>
        </w:rPr>
      </w:pPr>
    </w:p>
    <w:p w:rsidR="00CC5A5B" w:rsidRPr="00CC5A5B" w:rsidRDefault="00CC5A5B" w:rsidP="00CC5A5B">
      <w:pPr>
        <w:spacing w:line="259" w:lineRule="auto"/>
        <w:jc w:val="center"/>
        <w:rPr>
          <w:rFonts w:ascii="Verdana" w:eastAsia="Calibri" w:hAnsi="Verdana" w:cs="Consolas"/>
          <w:sz w:val="22"/>
          <w:szCs w:val="22"/>
          <w:lang w:val="es-MX" w:eastAsia="en-US"/>
        </w:rPr>
      </w:pPr>
    </w:p>
    <w:p w:rsidR="00CC5A5B" w:rsidRPr="00CC5A5B" w:rsidRDefault="00CC5A5B" w:rsidP="00CC5A5B">
      <w:pPr>
        <w:spacing w:line="259" w:lineRule="auto"/>
        <w:jc w:val="center"/>
        <w:rPr>
          <w:rFonts w:ascii="Verdana" w:eastAsia="Calibri" w:hAnsi="Verdana" w:cs="Consolas"/>
          <w:sz w:val="22"/>
          <w:szCs w:val="22"/>
          <w:lang w:val="es-MX" w:eastAsia="en-US"/>
        </w:rPr>
      </w:pPr>
    </w:p>
    <w:p w:rsidR="00CC5A5B" w:rsidRPr="00CC5A5B" w:rsidRDefault="00CC5A5B" w:rsidP="00CC5A5B">
      <w:pPr>
        <w:spacing w:line="259" w:lineRule="auto"/>
        <w:jc w:val="both"/>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_______________________________         ______________________________</w:t>
      </w:r>
    </w:p>
    <w:p w:rsidR="00CC5A5B" w:rsidRPr="00CC5A5B" w:rsidRDefault="00CC5A5B" w:rsidP="00CC5A5B">
      <w:pPr>
        <w:spacing w:line="259" w:lineRule="auto"/>
        <w:jc w:val="both"/>
        <w:rPr>
          <w:rFonts w:ascii="Verdana" w:eastAsia="Calibri" w:hAnsi="Verdana" w:cs="Consolas"/>
          <w:b/>
          <w:sz w:val="22"/>
          <w:szCs w:val="22"/>
          <w:lang w:val="es-MX" w:eastAsia="en-US"/>
        </w:rPr>
      </w:pPr>
      <w:r w:rsidRPr="00CC5A5B">
        <w:rPr>
          <w:rFonts w:ascii="Verdana" w:eastAsia="Calibri" w:hAnsi="Verdana" w:cs="Consolas"/>
          <w:b/>
          <w:sz w:val="22"/>
          <w:szCs w:val="22"/>
          <w:lang w:val="es-MX" w:eastAsia="en-US"/>
        </w:rPr>
        <w:t xml:space="preserve">         Lic. Jorge Luis Reyes Bravo.</w:t>
      </w:r>
      <w:r w:rsidRPr="00CC5A5B">
        <w:rPr>
          <w:rFonts w:ascii="Verdana" w:eastAsia="Calibri" w:hAnsi="Verdana" w:cs="Consolas"/>
          <w:b/>
          <w:sz w:val="22"/>
          <w:szCs w:val="22"/>
          <w:lang w:val="es-MX" w:eastAsia="en-US"/>
        </w:rPr>
        <w:tab/>
      </w:r>
      <w:r w:rsidRPr="00CC5A5B">
        <w:rPr>
          <w:rFonts w:ascii="Verdana" w:eastAsia="Calibri" w:hAnsi="Verdana" w:cs="Consolas"/>
          <w:sz w:val="22"/>
          <w:szCs w:val="22"/>
          <w:lang w:val="es-MX" w:eastAsia="en-US"/>
        </w:rPr>
        <w:tab/>
      </w:r>
      <w:r w:rsidRPr="00CC5A5B">
        <w:rPr>
          <w:rFonts w:ascii="Verdana" w:eastAsia="Calibri" w:hAnsi="Verdana" w:cs="Consolas"/>
          <w:b/>
          <w:sz w:val="22"/>
          <w:szCs w:val="22"/>
          <w:lang w:val="es-MX" w:eastAsia="en-US"/>
        </w:rPr>
        <w:t xml:space="preserve"> Lic. Jorge Arturo Ventura Alfaro</w:t>
      </w:r>
    </w:p>
    <w:p w:rsidR="00CC5A5B" w:rsidRPr="00CC5A5B" w:rsidRDefault="00CC5A5B" w:rsidP="00CC5A5B">
      <w:pPr>
        <w:spacing w:line="259" w:lineRule="auto"/>
        <w:jc w:val="both"/>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Encargado del Despacho de la Unidad de       Titular del Órgano Interno de Control</w:t>
      </w:r>
    </w:p>
    <w:p w:rsidR="00CC5A5B" w:rsidRPr="00CC5A5B" w:rsidRDefault="00CC5A5B" w:rsidP="00CC5A5B">
      <w:pPr>
        <w:spacing w:line="259" w:lineRule="auto"/>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 xml:space="preserve">                  Transparencia</w:t>
      </w:r>
    </w:p>
    <w:p w:rsidR="00CC5A5B" w:rsidRPr="00CC5A5B" w:rsidRDefault="00CC5A5B" w:rsidP="00CC5A5B">
      <w:pPr>
        <w:spacing w:after="160"/>
        <w:contextualSpacing/>
        <w:rPr>
          <w:rFonts w:ascii="Verdana" w:eastAsia="Calibri" w:hAnsi="Verdana" w:cs="Consolas"/>
          <w:sz w:val="22"/>
          <w:szCs w:val="22"/>
          <w:lang w:val="es-MX" w:eastAsia="en-US"/>
        </w:rPr>
      </w:pPr>
    </w:p>
    <w:p w:rsidR="00CC5A5B" w:rsidRPr="00CC5A5B" w:rsidRDefault="00CC5A5B" w:rsidP="00CC5A5B">
      <w:pPr>
        <w:spacing w:after="160"/>
        <w:contextualSpacing/>
        <w:rPr>
          <w:rFonts w:ascii="Verdana" w:eastAsia="Calibri" w:hAnsi="Verdana" w:cs="Consolas"/>
          <w:sz w:val="22"/>
          <w:szCs w:val="22"/>
          <w:lang w:val="es-MX" w:eastAsia="en-US"/>
        </w:rPr>
      </w:pPr>
    </w:p>
    <w:p w:rsidR="00CC5A5B" w:rsidRPr="00CC5A5B" w:rsidRDefault="00CC5A5B" w:rsidP="00CC5A5B">
      <w:pPr>
        <w:spacing w:after="160"/>
        <w:contextualSpacing/>
        <w:jc w:val="both"/>
        <w:rPr>
          <w:rFonts w:ascii="Verdana" w:eastAsia="Calibri" w:hAnsi="Verdana" w:cs="Consolas"/>
          <w:sz w:val="22"/>
          <w:szCs w:val="22"/>
          <w:lang w:val="es-MX" w:eastAsia="en-US"/>
        </w:rPr>
      </w:pPr>
      <w:r w:rsidRPr="00CC5A5B">
        <w:rPr>
          <w:rFonts w:ascii="Verdana" w:eastAsia="Calibri" w:hAnsi="Verdana" w:cs="Consolas"/>
          <w:sz w:val="22"/>
          <w:szCs w:val="22"/>
          <w:lang w:val="es-MX" w:eastAsia="en-US"/>
        </w:rPr>
        <w:t xml:space="preserve">La presente hoja de firmas forma parte integral de la presente acta, relativa a la </w:t>
      </w:r>
      <w:r w:rsidR="006E2ACF" w:rsidRPr="004642FE">
        <w:rPr>
          <w:rFonts w:ascii="Verdana" w:eastAsia="Calibri" w:hAnsi="Verdana" w:cs="Consolas"/>
          <w:sz w:val="22"/>
          <w:szCs w:val="22"/>
          <w:lang w:val="es-MX" w:eastAsia="en-US"/>
        </w:rPr>
        <w:t>Sexta</w:t>
      </w:r>
      <w:r w:rsidRPr="00CC5A5B">
        <w:rPr>
          <w:rFonts w:ascii="Verdana" w:eastAsia="Calibri" w:hAnsi="Verdana" w:cs="Consolas"/>
          <w:sz w:val="22"/>
          <w:szCs w:val="22"/>
          <w:lang w:val="es-MX" w:eastAsia="en-US"/>
        </w:rPr>
        <w:t xml:space="preserve"> Sesión Extraordinaria del 2019, del Comité de Transparencia de la Secretaría Ejecutiva del Sistema Estatal Anticorrupción de Jalisco. -----------------------------------------------------</w:t>
      </w:r>
      <w:r w:rsidR="00B12232" w:rsidRPr="004642FE">
        <w:rPr>
          <w:rFonts w:ascii="Verdana" w:eastAsia="Calibri" w:hAnsi="Verdana" w:cs="Consolas"/>
          <w:sz w:val="22"/>
          <w:szCs w:val="22"/>
          <w:lang w:val="es-MX" w:eastAsia="en-US"/>
        </w:rPr>
        <w:t>-------------</w:t>
      </w:r>
    </w:p>
    <w:p w:rsidR="00BD7A12" w:rsidRDefault="00BD7A12">
      <w:pPr>
        <w:rPr>
          <w:rFonts w:ascii="Arial" w:eastAsia="Arial" w:hAnsi="Arial" w:cs="Arial"/>
          <w:sz w:val="21"/>
          <w:szCs w:val="21"/>
          <w:highlight w:val="white"/>
        </w:rPr>
      </w:pPr>
    </w:p>
    <w:sectPr w:rsidR="00BD7A12">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1E" w:rsidRDefault="00D7571E">
      <w:r>
        <w:separator/>
      </w:r>
    </w:p>
  </w:endnote>
  <w:endnote w:type="continuationSeparator" w:id="0">
    <w:p w:rsidR="00D7571E" w:rsidRDefault="00D7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D7571E">
    <w:pPr>
      <w:jc w:val="center"/>
      <w:rPr>
        <w:color w:val="5B9BD5"/>
        <w:sz w:val="21"/>
        <w:szCs w:val="21"/>
      </w:rPr>
    </w:pPr>
    <w:r>
      <w:rPr>
        <w:rFonts w:ascii="Arial" w:eastAsia="Arial" w:hAnsi="Arial" w:cs="Arial"/>
        <w:noProof/>
        <w:sz w:val="22"/>
        <w:szCs w:val="22"/>
      </w:rPr>
      <w:drawing>
        <wp:inline distT="114300" distB="114300" distL="114300" distR="114300">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1E" w:rsidRDefault="00D7571E">
      <w:r>
        <w:separator/>
      </w:r>
    </w:p>
  </w:footnote>
  <w:footnote w:type="continuationSeparator" w:id="0">
    <w:p w:rsidR="00D7571E" w:rsidRDefault="00D7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BB174E"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rsidR="00BD7A12" w:rsidRDefault="00D7571E">
    <w:pPr>
      <w:tabs>
        <w:tab w:val="center" w:pos="4419"/>
        <w:tab w:val="right" w:pos="8838"/>
      </w:tabs>
      <w:ind w:left="-1417" w:right="-1425"/>
      <w:jc w:val="right"/>
    </w:pPr>
    <w:r>
      <w:rPr>
        <w:noProof/>
        <w:color w:val="5B9BD5"/>
        <w:sz w:val="21"/>
        <w:szCs w:val="21"/>
      </w:rPr>
      <w:drawing>
        <wp:inline distT="114300" distB="114300" distL="114300" distR="11430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5324D"/>
    <w:rsid w:val="00253271"/>
    <w:rsid w:val="004642FE"/>
    <w:rsid w:val="004D473D"/>
    <w:rsid w:val="006E2ACF"/>
    <w:rsid w:val="0087617F"/>
    <w:rsid w:val="009B205A"/>
    <w:rsid w:val="009D4553"/>
    <w:rsid w:val="00A174BA"/>
    <w:rsid w:val="00B12232"/>
    <w:rsid w:val="00BB174E"/>
    <w:rsid w:val="00BD7A12"/>
    <w:rsid w:val="00C80992"/>
    <w:rsid w:val="00CB3C8B"/>
    <w:rsid w:val="00CC5A5B"/>
    <w:rsid w:val="00D7571E"/>
    <w:rsid w:val="00E615CB"/>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6A4C"/>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5E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8BEB25-A1DB-463F-A6B2-951FF969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1532</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Jorge Luis Reyes Bravo</cp:lastModifiedBy>
  <cp:revision>8</cp:revision>
  <cp:lastPrinted>2019-11-01T20:18:00Z</cp:lastPrinted>
  <dcterms:created xsi:type="dcterms:W3CDTF">2019-11-01T17:32:00Z</dcterms:created>
  <dcterms:modified xsi:type="dcterms:W3CDTF">2019-11-01T20:19:00Z</dcterms:modified>
</cp:coreProperties>
</file>